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Mainbogen Kommunalversicherung VVaG – Schadenabteilung</w:t>
        <w:br/>
        <w:t>Kornblumenstraße 18, 97084 Würzburg</w:t>
      </w:r>
    </w:p>
    <w:p>
      <w:r>
        <w:t>Lindenqueller Bäderbetrieb GmbH – Geschäftsführung</w:t>
        <w:br/>
        <w:t>Seerosenbogen 3, 97082 Lindenquell bei Würzburg</w:t>
      </w:r>
    </w:p>
    <w:p>
      <w:r>
        <w:t>05.10.2026</w:t>
      </w:r>
    </w:p>
    <w:p>
      <w:pPr>
        <w:pStyle w:val="Title"/>
      </w:pPr>
      <w:r>
        <w:t>Rebhuhn: Deckungsbereich und sachliche Nachfragen</w:t>
      </w:r>
    </w:p>
    <w:p>
      <w:r>
        <w:t>Sehr geehrte Frau Fink,</w:t>
      </w:r>
    </w:p>
    <w:p>
      <w:r>
        <w:t>wir bestätigen den Eingang Ihrer Meldung unter MK-BAD-26222 und die vertragliche Zuordnung des Lindenbads zur Lindenqueller Bäderbetrieb GmbH. Nach der für diesen Vorgang maßgeblichen Fallvereinbarung MK-BAD-2026 besteht im Kalenderjahr 2026 Betriebshaftpflichtschutz für die gesetzliche Haftpflicht aus dem entgeltlichen Badbetrieb einschließlich der Verkehrssicherung und der notwendigen Instandhaltung von Einstiegen. Die vereinbarte Versicherungssumme für Personenschäden beträgt 5.000.000 EUR je Ereignis. Für diesen Personenschaden ist kein Selbstbehalt vorgesehen. Diese Angaben betreffen den Innenvertrag, nicht bereits die Haftungsentscheidung gegenüber Frau Rebhuhn.</w:t>
      </w:r>
    </w:p>
    <w:p>
      <w:r>
        <w:t>Die medizinischen Unterlagen sollen sich zunächst auf die behauptete Schienbeinverletzung und deren Verlauf beschränken. Wir benötigen keine vollständige lebenslange Krankenakte. Eine pauschale Schweigepflichtentbindung ist nicht aus dem bloßen Besuch des Bads abzuleiten. Bitte dokumentieren Sie den erforderlichen Übermittlungszweck und nutzen Sie den vereinbarten geschützten Kanal. Die Zugangskontrolle in Ihrer Schadenakte bleibt bestehen.</w:t>
      </w:r>
    </w:p>
    <w:p>
      <w:r>
        <w:t>Zur Haftungsprüfung sind der frühe Hinweis auf die wackelnde Stufe, die fehlende Sperrung und der tatsächliche Unfallablauf entscheidend. Bitte bewahren Sie das ausgetauschte Befestigungsteil weiter auf. Die widersprüchliche erste Kurzbeschreibung lässt sich durch die Aussage des Ersthelfers und der Zeugin aufklären. Für ein Rennen oder einen Sprung liegt nach den bisherigen Unterlagen keine eigene Wahrnehmung vor; darauf soll eine Ablehnung nicht ohne weitere Tatsachen gestützt werden.</w:t>
      </w:r>
    </w:p>
    <w:p>
      <w:r>
        <w:t>Die Höhe des bestimmten Schmerzensgelds bleibt zu bewerten. Eine Reserve von 892,70 EUR ist lediglich unser aktueller Bearbeitungsansatz. Die Stadt als Gesellschafterin und der Landkreis werden dadurch nicht zu Mitschuldnern. Ein individueller Rückversicherungsvorgang ist bei diesem begrenzten, bisher folgenlos abgeheilten Ereignis nicht eröffnet. Die Vereinbarung und unser Brief sind Bestandteile dieses fiktiven Falls und belegen keine tatsächliche AKHA-Beteiligung. Bitte stimmen Sie eine abschließende Antwort mit uns ab, sobald die eng umgrenzte medizinische Klärung vorliegt.</w:t>
      </w:r>
    </w:p>
    <w:p>
      <w:r>
        <w:t>Mit freundlichen Grüßen</w:t>
        <w:br/>
        <w:t>Severin Salbei</w:t>
        <w:br/>
        <w:t>Schadenabteilung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Rebhuhn: Deckungsbereich und sachliche Nachfragen</dc:title>
  <dc:subject/>
  <dc:creator>Mainbogen Kommunalversicherung VVaG – Schadenabteilung
Kornblumenstraße 18, 97084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