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Leona Ehlers</w:t>
        <w:br/>
        <w:t>Buchfinkenstraße 9, 97299 Hainbogen</w:t>
      </w:r>
    </w:p>
    <w:p>
      <w:r>
        <w:t>An die Stadt Hainbogen</w:t>
        <w:br/>
        <w:t>Rechtsamt, Frau Mira Morgenrot</w:t>
        <w:br/>
        <w:t>Buchsbaumplatz 1, 97299 Hainbogen</w:t>
      </w:r>
    </w:p>
    <w:p>
      <w:r>
        <w:t>03.10.2026</w:t>
      </w:r>
    </w:p>
    <w:p>
      <w:pPr>
        <w:pStyle w:val="Title"/>
      </w:pPr>
      <w:r>
        <w:t>Kümmel gegen Stadt Hainbogen – präzisierte Forderung</w:t>
      </w:r>
    </w:p>
    <w:p>
      <w:r>
        <w:t>Sturz im Bürgerhaus am 12. September 2026</w:t>
      </w:r>
    </w:p>
    <w:p>
      <w:r>
        <w:t>Sehr geehrte Frau Morgenrot,</w:t>
      </w:r>
    </w:p>
    <w:p>
      <w:r>
        <w:t>ich vertrete Frau Ottilie Kümmel, Lerchenbogen 8, 97299 Hainbogen. Meine Mandantin stürzte um etwa 18:08 Uhr unmittelbar vor der Schmutzfangmatte des Bürgerhauses. Die nasse Stelle ist im Ereignisbericht dokumentiert. Die Chatwarnung von 18:03 Uhr und die Antwort des Hausmeisters von 18:04 Uhr sind bei der Prüfung der rechtzeitig möglichen Sicherung zu berücksichtigen. Die spätere Niederschrift einer nur ungefähr erinnerten Kontrolle widerlegt diese konkrete Gefahrenmeldung nicht.</w:t>
      </w:r>
    </w:p>
    <w:p>
      <w:r>
        <w:t>Meine Mandantin erlitt die im Ambulanzbericht beschriebene Radiusfraktur links. Sie verlangt ein angemessenes Schmerzensgeld, für das sie derzeit 2.500 EUR zugrunde legt. Hinzu kommen die tatsächlich bezahlten 297,50 EUR für zehn Stunden erforderlicher Haushaltshilfe und 45 EUR für die beim Sturz beschädigte gebrauchte Jacke. Damit ergibt sich für die außergerichtliche Verständigung ein Betrag von 2.842,50 EUR. Die Hilfe ihrer Tochter, Taxikosten und eine allgemeine Pauschale werden mit diesem Schreiben nicht zusätzlich berechnet. Das Schmerzensgeld ist anhand des vollständigen Verlaufs zu beurteilen; eine endgültige Prognose dauerhafter Folgen liegt noch nicht vor.</w:t>
      </w:r>
    </w:p>
    <w:p>
      <w:r>
        <w:t>Bitte teilen Sie bis zum 9. Oktober Ihre Haftungsposition und die Rechtsform der Besucherbenutzung mit. Zur Zahlung des begründeten Betrags setzen wir eine Frist bis zum 16. Oktober 2026. Mit dieser Frist wird kein bereits eingetretener Verzug rückdatiert. Falls einzelne Positionen aus Ihrer Sicht nicht ausreichend belegt sind, bezeichnen Sie bitte den konkreten Einwand und die dafür maßgeblichen Tatsachen.</w:t>
      </w:r>
    </w:p>
    <w:p>
      <w:r>
        <w:t>Die Forderung enthält keine Abfindung unbekannter Spätfolgen und keine Erklärung zum Versicherungsschutz der Stadt. Ein Klageentwurf wird vorbereitet; er wurde nicht eingereicht. Eine nachvollziehbare außergerichtliche Lösung bleibt möglich.</w:t>
      </w:r>
    </w:p>
    <w:p>
      <w:r>
        <w:t>Mit freundlichen Grüßen</w:t>
        <w:br/>
        <w:t>Leona Ehlers</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Kümmel gegen Stadt Hainbogen – präzisierte Forderung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