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Hainbogen</w:t>
        <w:br/>
        <w:t>Rechtsamt, Buchsbaumplatz 1, 97299 Hainbogen</w:t>
      </w:r>
    </w:p>
    <w:p>
      <w:r>
        <w:t>An Rechtsanwältin Leona Ehlers</w:t>
        <w:br/>
        <w:t>Buchfinkenstraße 9, 97299 Hainbogen</w:t>
      </w:r>
    </w:p>
    <w:p>
      <w:r>
        <w:t>05.10.2026</w:t>
      </w:r>
    </w:p>
    <w:p>
      <w:pPr>
        <w:pStyle w:val="Title"/>
      </w:pPr>
      <w:r>
        <w:t>Stadt Hainbogen – Antwort zum Bürgerhaus</w:t>
      </w:r>
    </w:p>
    <w:p>
      <w:r>
        <w:t>Frau Kümmel – Bücherabend vom 12. September 2026</w:t>
      </w:r>
    </w:p>
    <w:p>
      <w:r>
        <w:t>Sehr geehrte Frau Ehlers,</w:t>
      </w:r>
    </w:p>
    <w:p>
      <w:r>
        <w:t>wir bestätigen den Eingang Ihres Schreibens. Die Stadt Hainbogen besitzt und betreibt das Bürgerhaus. Es ist als gemeindliche öffentliche Einrichtung gewidmet. Der Bücherabend war eine eigene Veranstaltung unseres Kulturamts im Rahmen dieses Benutzungszwecks. Die Zulassung der Besucher erfolgte im öffentlich-rechtlichen Benutzungsverhältnis; individuelle private Veranstaltungs- oder Mietverträge wurden mit ihnen nicht geschlossen. Die Stadt hat ihren Sitz im Landgerichtsbezirk Würzburg. Bürgermeisterin ist Jette Linden.</w:t>
      </w:r>
    </w:p>
    <w:p>
      <w:r>
        <w:t>Die Gruppe erhielt um 18:03 Uhr die von Herrn Mansour beschriebene Nachricht. Der Inhalt der weiteren Wahrnehmungen und die damals praktisch mögliche Reaktion werden geprüft. Eine genaue Kontrolle der Fliesen um 17:55 Uhr können wir nach der Klarstellung von Frau Kaya nicht bestätigen. Daraus folgt für uns allerdings noch nicht ohne Weiteres, dass jedes zwischenzeitliche Auftreten von Nässe pflichtwidrig unbeachtet blieb.</w:t>
      </w:r>
    </w:p>
    <w:p>
      <w:r>
        <w:t>Die Forderung über 2.842,50 EUR ist vorgemerkt. Wir erklären heute weder ein Anerkenntnis noch eine Zahlung. Bei Schmerzensgeld und Haushaltshilfe benötigen wir einen nachvollziehbaren Verlauf; die ursprüngliche Rechnung über Hilfeleistungen bestreiten wir als Urkunde nicht. Die beschädigte Jacke sollte bis zur Abstimmung erhalten bleiben. Wir werden die Antwortbitte zum 9. Oktober berücksichtigen und Ihren Zahlungszeitpunkt gesondert behandeln.</w:t>
      </w:r>
    </w:p>
    <w:p>
      <w:r>
        <w:t>Unsere versicherungsrechtlichen Unterlagen sind noch nicht vollständig. Das ist kein sachlicher Einwand gegen einen begründeten Anspruch Ihrer Mandantin. Eine Aussage über Mitgliedschaft in einem Schadenausgleich oder Rückdeckung wird nicht abgegeben.</w:t>
      </w:r>
    </w:p>
    <w:p>
      <w:r>
        <w:t>Mit freundlichen Grüßen</w:t>
        <w:br/>
        <w:t>Mira Morgenrot</w:t>
        <w:br/>
        <w:t>Für die Stadt Hainbogen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Stadt Hainbogen – Antwort zum Bürgerhaus</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