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Frankenbogen Kommunalversicherung VVaG</w:t>
        <w:br/>
        <w:t>Götz Linde · Versicherungsbogen 8 · 97080 Würzburg</w:t>
      </w:r>
    </w:p>
    <w:p>
      <w:r>
        <w:t>Stadt Hainbogen · Risikostelle</w:t>
        <w:br/>
        <w:t>Frau Gundula Pfennig · Buchsbaumplatz 1 · 97299 Hainbogen</w:t>
      </w:r>
    </w:p>
    <w:p>
      <w:r>
        <w:t>05.10.2026</w:t>
      </w:r>
    </w:p>
    <w:p>
      <w:pPr>
        <w:pStyle w:val="Title"/>
      </w:pPr>
      <w:r>
        <w:t>Bürgerhaus Hainbogen – Vorgangsbestätigung nach Archivabgleich</w:t>
      </w:r>
    </w:p>
    <w:p>
      <w:r>
        <w:t>Sehr geehrte Frau Pfennig,</w:t>
      </w:r>
    </w:p>
    <w:p>
      <w:r>
        <w:t>nach dem heute abgeschlossenen Archivabgleich bestätigen wir für diesen synthetischen Vorgang den Vertrag KH-HB-2026 mit Laufzeit vom 1. Januar bis 31. Dezember 2026. Versichert ist die gesetzliche Haftpflicht der Stadt aus dem eigenen Betrieb des Bürgerhauses einschließlich der eigenen Kulturveranstaltungen und des eigenen Reinigungsdiensts. Die Versicherungssumme beträgt 5.000.000 EUR je Ereignis. Der städtische Selbstbehalt beträgt 500 EUR je Ereignis und wird nach Prüfung der berechtigten Entschädigung einmalig im Verhältnis zwischen uns und der Stadt berücksichtigt.</w:t>
      </w:r>
    </w:p>
    <w:p>
      <w:r>
        <w:t>Diese Bestätigung ergänzt den erst heute belegten Vertragsstand. Aus ihr folgt weder, dass die angemeldeten 2.842,50 EUR in voller Höhe geschuldet sind, noch dass die Klägerin wegen des Selbstbehalts weniger verlangen könnte. Nach derzeitigem Bearbeitungsstand liegt kein Anlass für einen Deckungsausschluss vor. Wir übernehmen die vereinbarte Prüfung und Anspruchsabwehr. Die medizinische Entwicklung und die begrenzte Aussagekraft des Kontrollblatts bleiben dabei offene Bewertungsfragen.</w:t>
      </w:r>
    </w:p>
    <w:p>
      <w:r>
        <w:t>Für diesen Fall ist keine gesonderte Meldung der Stadt an eine Rückversicherung vorgesehen. Unser internes Modellprogramm setzt für eine Einzelfallmeldung eine erwartete eigene Nettobelastung von 750.000 EUR voraus. Diese Grenze wird nach dem dokumentierten Sachstand ersichtlich nicht erreicht. Wir bestätigen hiermit weder eine AKHA-Mitgliedschaft noch einen Zahlungsanspruch aus einem kommunalen Ausgleich. Bitte legen Sie in Ihrer Akte keine künstliche Forderung gegen eine weitere Ebene an.</w:t>
      </w:r>
    </w:p>
    <w:p>
      <w:r>
        <w:t>Stimmen Sie einen etwaigen Regulierungsvorschlag vorher mit uns ab. Unsere Beteiligung verschiebt weder die gegenüber Frau Kümmel bezeichnete Antwortfrist noch das Mandat von Frau Klee. Wir möchten zunächst den aktualisierten Befund und die konkrete Zuordnung der Hilfeleistungen erhalten; ein kleiner, zeitnaher Vergleich kann danach geprüft werden. Die Stadt muss dafür kein fiktives Schuldanerkenntnis abgeben. Eine Zahlung wurde heute noch nicht veranlasst.</w:t>
      </w:r>
    </w:p>
    <w:p>
      <w:r>
        <w:t>Mit freundlichen Grüßen</w:t>
        <w:br/>
        <w:t>Götz Linde</w:t>
        <w:br/>
        <w:t>Kommunale Haftpflicht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Bürgerhaus Hainbogen – Vorgangsbestätigung nach Archivabgleich</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