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Kunigunde Rabenstein</w:t>
        <w:br/>
        <w:t>Spreebogen Lichtwerk GmbH | Mühlenstraße 64, 13187 Berlin</w:t>
      </w:r>
    </w:p>
    <w:p>
      <w:r>
        <w:t>An: Dr. Adelbert Feuchtwanger</w:t>
        <w:br/>
        <w:t>Zur Verwendung im Gespräch mit Rechtsanwältin Fürst</w:t>
      </w:r>
    </w:p>
    <w:p>
      <w:r>
        <w:t>09.10.2026</w:t>
      </w:r>
    </w:p>
    <w:p>
      <w:pPr>
        <w:pStyle w:val="Title"/>
      </w:pPr>
      <w:r>
        <w:t>Gesellschaftsposition und persönliche Vorbehalte zum Vergleich</w:t>
      </w:r>
    </w:p>
    <w:p>
      <w:r>
        <w:t>Sehr geehrter Herr Dr. Feuchtwanger,</w:t>
      </w:r>
    </w:p>
    <w:p>
      <w:r>
        <w:t>die folgenden Punkte sollen Ihnen für das heutige Gespräch dienen. Soweit es den Betrieb betrifft, erläutere ich den Wunsch der Gesellschaft. Wo ich über meinen Geschäftsanteil, meine private Finanzierung oder meine persönliche Unterschrift spreche, ist das meine eigene Position und kein zusätzlicher Beratungsauftrag an Sie. Sie sollen die Gesellschaft verteidigen und für sie verhandeln. Bitte lassen Sie bei jedem späteren Beschluss prüfen, wer entscheiden und wer unterschreiben darf. Ich möchte nicht erneut ein Papier vorlegen, dessen Bedeutung nachher jede Person anders versteht.</w:t>
      </w:r>
    </w:p>
    <w:p>
      <w:pPr>
        <w:pStyle w:val="Heading1"/>
      </w:pPr>
      <w:r>
        <w:t>1 Was für den Betrieb vorstellbar ist</w:t>
      </w:r>
    </w:p>
    <w:p>
      <w:r>
        <w:t>Eine technische Mitarbeit Gottfrieds kann sinnvoll sein. Ich bevorzuge zunächst eine Übergangsaufgabe bis zum 31. Januar 2027. Drei feste Projekttage sind besprechbar, aber wir brauchen auch für Störungen an anderen Tagen eine verlässliche Zuständigkeit. Gottfried muss nicht allein rund um die Uhr erreichbar sein; wir müssten eine Vertretung im Team organisieren und deren Aufwand kennen. Bankzugang oder rechtsgeschäftliche Vertretung darf aus dieser Mitarbeit nicht automatisch folgen.</w:t>
      </w:r>
    </w:p>
    <w:p>
      <w:r>
        <w:t>Eine erneute Organbestellung verspreche ich jetzt nicht. Dafür möchte ich erst die Rechnung und einige Wochen Zusammenarbeit sehen. Eine gemeinsame Vertretung könnte zusätzlich unser Tagesgeschäft verlangsamen. Sollte sie trotzdem die einzige tragfähige Lösung sein, müssen wir ihre gesellschaftsrechtliche Umsetzung vorher klären. Die Septemberentscheidung wird nicht rückdatiert oder aus dem Protokoll entfernt. Gottfrieds Anstellungsvertrag ist dadurch nicht nebenbei beendet. Bitte prüfen Sie die Oktobervergütung gesondert anhand des Vertrags; über deren Höhe und Fälligkeit will ich in diesem Brief nichts erfinden.</w:t>
      </w:r>
    </w:p>
    <w:p>
      <w:pPr>
        <w:pStyle w:val="Heading1"/>
      </w:pPr>
      <w:r>
        <w:t>2 Rechnung und Einkaufsablauf</w:t>
      </w:r>
    </w:p>
    <w:p>
      <w:r>
        <w:t>Für eine Einigung über die Rechnung hätte ich zunächst 3.500 EUR zurück auf dem Gesellschaftskonto erwartet. Das entspricht der Differenz zwischen erster Preisangabe und Endrechnung, beweist aber keinen Schaden in dieser Höhe. Ich bin bereit, über die endgültige Anrechnung nach Prüfung zu sprechen. Die Obergrenze von 2.380 EUR aus Frau Fürsts Schreiben erscheint mir vorschnell, solange die Expresskosten und das letzte Gerät unklar sind. Ottilies Idee einer neutralen Verwahrung möchte ich hören; die GmbH braucht aber Klarheit, wann sie tatsächlich über Geld verfügen könnte.</w:t>
      </w:r>
    </w:p>
    <w:p>
      <w:r>
        <w:t>Bis zum 16. Oktober sollten alle verfügbaren Unterlagen in einer Liste stehen. Ein unabhängiger sachkundiger Prüfer könnte bis zum 22. Oktober Rückfragen beantworten. Wir müssen dessen Auftrag und Kosten gemeinsam festlegen. Seine Einschätzung soll zunächst eine Verständigung ermöglichen, nicht ohne weitere Abrede unsere Ansprüche verbindlich entscheiden. Fehlende Belege dürfen nicht nachträglich als zeitgleich unterschriebene Liefernachweise erscheinen.</w:t>
      </w:r>
    </w:p>
    <w:p>
      <w:r>
        <w:t>Die Einkaufsgrenze möchte ich künftig auf 7.500 EUR brutto senken. Zusammengehörige Beschaffungen müssen zusammengerechnet werden. Wer auf der Baustelle eine unmittelbare Gefahr beseitigen muss, soll handeln können und noch am selben Tag berichten. Die drohende Verspätung eines Kundenauftrags allein reicht mir nicht. Ich möchte außerdem die technisch möglichen Zahlungen im Bankportal mit den internen Befugnissen abgleichen. Mir ist bewusst, dass ein interner Verstoß nicht ohne Weiteres einen Liefervertrag beseitigt.</w:t>
      </w:r>
    </w:p>
    <w:p>
      <w:r>
        <w:t>Geschäfte mit einer Gesellschafterfirma benötigen für mich vorab eine nachvollziehbare, rechtlich wirksame Entscheidung und eine geeignete Vertretung beim Vertragsabschluss. Ich bevorzuge bis zur Rechnungsprüfung keine neuen Aufträge an SBS. Eine bestehende satzungsmäßige Zustimmungspflicht soll keinesfalls durch die Einkaufsgrenze oder eine Buchhaltungsfreigabe ersetzt werden. Auch eine nachträgliche Genehmigung der Augustzahlung wird in diesem Papier nicht erklärt.</w:t>
      </w:r>
    </w:p>
    <w:p>
      <w:pPr>
        <w:pStyle w:val="Heading1"/>
      </w:pPr>
      <w:r>
        <w:t>3 Information und Mehrheiten</w:t>
      </w:r>
    </w:p>
    <w:p>
      <w:r>
        <w:t>Eine monatliche Übersicht bis zum zehnten Arbeitstag unterstütze ich. Ottilie kann die Daten zusammenstellen, muss aber nicht persönlich für jeden offenen Kundenposten einstehen. Den Lesezugang zu den Lindenhof-Unterlagen können wir so einrichten, dass nichts gelöscht wird. Konkrete berechtigte Einwendungen gegen einzelne Dokumente müssen benannt werden; einen vollständigen Ausschluss Gottfrieds wegen des Prozesses wünsche ich nicht.</w:t>
      </w:r>
    </w:p>
    <w:p>
      <w:r>
        <w:t>Über 75 Prozent des gesamten Stammkapitals bei neuen Krediten, fremden Sicherheiten und Investitionen außerhalb des Jahresbudgets können wir sprechen. Die vorhandene Satzung gilt bis zu einer wirksamen Änderung weiter. Ich möchte keine Formulierung, nach der unser Gespräch schon eine neue Satzung wäre. Bei persönlich belastenden Finanzierungen braucht es ohnehin die betroffenen Personen am Tisch. Bei konfliktbelasteten Versammlungen ist eine neutrale Leitung sinnvoll. Ottilie soll nicht auf Dauer Richterin zwischen uns sein.</w:t>
      </w:r>
    </w:p>
    <w:p>
      <w:pPr>
        <w:pStyle w:val="Heading1"/>
      </w:pPr>
      <w:r>
        <w:t>4 Meine persönliche Finanzierungshaltung</w:t>
      </w:r>
    </w:p>
    <w:p>
      <w:r>
        <w:t>Ich halte weiterhin 40 Prozent; Gottfried hält 35 und Ottilie 25 Prozent. Kein Anteil wird durch dieses Gespräch verkauft. Für einen belegten saisonalen Bedarf bis möglicherweise 40.000 EUR möchte ich zunächst freiwillige Darlehen nach Beteiligungsverhältnis anbieten. Vorher brauchen wir bis zum 30. Oktober die Liquiditätsvorschau bis März. Ich erkenne an, dass weder Gottfried noch Ottilie heute einen Beitrag zusagen. Auch ich unterschreibe noch keine Bürgschaft. Eine Kapitalerhöhung wurde nicht beschlossen und soll nicht als bereits laufender Vorgang erscheinen.</w:t>
      </w:r>
    </w:p>
    <w:p>
      <w:pPr>
        <w:pStyle w:val="Heading1"/>
      </w:pPr>
      <w:r>
        <w:t>5 Grenzen des Abschlusses</w:t>
      </w:r>
    </w:p>
    <w:p>
      <w:r>
        <w:t>Eine kurze Moderation bei wiederholt blockierten Entscheidungen ist vernünftig. Sie darf keine Fristen verschieben und niemanden zum Anteilsverkauf zwingen. Eine allgemeine Abfindung zum Buchwert lehne auch ich ab. Ein späterer Verkauf wäre eine eigene Verhandlung mit eigener Formprüfung.</w:t>
      </w:r>
    </w:p>
    <w:p>
      <w:r>
        <w:t>Die Betriebsmitteilung soll sachlich bleiben und erst nach geklärten Zuständigkeiten erfolgen. Beratung und erforderliche Offenlegung müssen trotz Vertraulichkeit möglich sein; vorhandene Unterlagen werden erhalten. Eigene persönliche Berater bezahlt jeder selbst. Die Gesellschaft kann gemeinsame Vollzugskosten nur nach klarem Auftrag übernehmen. Über hälftige Gerichtskosten entscheide ich für die Gesellschaft noch nicht; zunächst muss die Rechnungsbereinigung tragfähig sein. Einen pauschalen Verzicht auf unbekannte Ansprüche wünsche ich nicht.</w:t>
      </w:r>
    </w:p>
    <w:p>
      <w:r>
        <w:t>Vor Unterzeichnung brauche ich eine Vollzugsliste mit Beschlüssen, Vertretung, Bankablauf, Information und Rechnungsregelung. Meine persönliche Unterschrift ersetzt die Erklärung für die Gesellschaft nicht. Notar und Register sind dort einzubeziehen, wo es erforderlich ist. Zielbeginn 1. November und Redaktionsziel 30. Oktober sind für mich Termine zur Planung, keine automatische Bindung. Die Anwälte sollen den Vollzug belegen, bevor irgendjemand den Prozess beendet. Bis dahin erwarten wir die ordentliche Verteidigung einschließlich der heutigen Frist und der Erwiderung am 23. Oktober.</w:t>
      </w:r>
    </w:p>
    <w:p>
      <w:r>
        <w:t>Mit freundlichen Grüßen</w:t>
        <w:br/>
        <w:t>Kunigunde Rabenstein</w:t>
      </w:r>
    </w:p>
    <w:sectPr w:rsidR="00FC693F" w:rsidRPr="0006063C" w:rsidSect="00034616">
      <w:footerReference w:type="default" r:id="rId9"/>
      <w:pgSz w:w="11906" w:h="16838"/>
      <w:pgMar w:top="1077" w:right="1276" w:bottom="1077"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2"/>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Gesellschaftsposition und persönliche Vorbehalte zum Vergleich</dc:title>
  <dc:subject/>
  <dc:creator>Kunigunde Rabenstein</dc:creator>
  <cp:keywords/>
  <dc:description>generated by python-docx</dc:description>
  <cp:lastModifiedBy/>
  <cp:revision>1</cp:revision>
  <dcterms:created xsi:type="dcterms:W3CDTF">2026-10-01T09:00:00Z</dcterms:created>
  <dcterms:modified xsi:type="dcterms:W3CDTF">2026-10-01T09:00:00Z</dcterms:modified>
  <cp:category/>
</cp:coreProperties>
</file>