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Brandursachengutachten</w:t>
      </w:r>
    </w:p>
    <w:p>
      <w:pPr>
        <w:jc w:val="left"/>
      </w:pPr>
      <w:r>
        <w:t>Institut für Brandursachenermittlung Dipl.-Ing. Reinhard Kaltenbach, Halberstädter Straße 118, 39112 Magdeburg</w:t>
      </w:r>
    </w:p>
    <w:p>
      <w:pPr>
        <w:jc w:val="left"/>
      </w:pPr>
      <w:r>
        <w:t>Von der Industrie- und Handelskammer Magdeburg öffentlich bestellter und vereidigter Sachverständiger für Brandursachen</w:t>
      </w:r>
    </w:p>
    <w:p>
      <w:pPr>
        <w:jc w:val="left"/>
      </w:pPr>
      <w:r>
        <w:t>Auftraggeberin: Staatsanwaltschaft Magdeburg, 1 Js 5582/26 — Gutachten vom 12.06.2026</w:t>
      </w:r>
    </w:p>
    <w:p>
      <w:pPr>
        <w:pStyle w:val="Heading2"/>
      </w:pPr>
      <w:r>
        <w:rPr>
          <w:rFonts w:ascii="Times New Roman" w:hAnsi="Times New Roman"/>
        </w:rPr>
        <w:t>1 Auftrag und Grundlagen</w:t>
      </w:r>
    </w:p>
    <w:p>
      <w:pPr>
        <w:jc w:val="left"/>
      </w:pPr>
      <w:r>
        <w:t>Zu klären ist die Ursache des Brandes in der Lagerhalle der Nordharz Logistik GmbH, Sülzeanger 14, 39122 Magdeburg, in der Nacht vom 02. auf den 03.05.2026.</w:t>
      </w:r>
    </w:p>
    <w:p>
      <w:pPr>
        <w:jc w:val="left"/>
      </w:pPr>
      <w:r>
        <w:t>Grundlagen sind die Ortsbesichtigung am 05.05.2026 und am 21.05.2026, die Lichtbildmappe der Brandermittler, das Ereignisprotokoll der Brandnacht, die Bauunterlagen der Halle, die Wartungsnachweise der Elektroanlage sowie die von der Securitas übersandten Protokolle der Videoanlage.</w:t>
      </w:r>
    </w:p>
    <w:p>
      <w:pPr>
        <w:pStyle w:val="Heading2"/>
      </w:pPr>
      <w:r>
        <w:rPr>
          <w:rFonts w:ascii="Times New Roman" w:hAnsi="Times New Roman"/>
        </w:rPr>
        <w:t>2 Brandbild</w:t>
      </w:r>
    </w:p>
    <w:p>
      <w:pPr>
        <w:jc w:val="left"/>
      </w:pPr>
      <w:r>
        <w:t>Der stärkste Materialabtrag findet sich im nordöstlichen Hallendrittel im Bereich der Regalreihen 7 bis 9. Von dort verlaufen V-förmige Brandzehrungen an der Rückwand nach oben. Die Stahlbinder über diesem Bereich sind bis zum Verlust der Tragfähigkeit verformt.</w:t>
      </w:r>
    </w:p>
    <w:p>
      <w:pPr>
        <w:jc w:val="left"/>
      </w:pPr>
      <w:r>
        <w:t>Im südlichen Hallenteil ist die Brandzehrung deutlich geringer; dort ist der Schaden überwiegend durch Rauch und Löschwasser entstanden.</w:t>
      </w:r>
    </w:p>
    <w:p>
      <w:pPr>
        <w:pStyle w:val="Heading2"/>
      </w:pPr>
      <w:r>
        <w:rPr>
          <w:rFonts w:ascii="Times New Roman" w:hAnsi="Times New Roman"/>
        </w:rPr>
        <w:t>3 Untersuchte Ursachen</w:t>
      </w:r>
    </w:p>
    <w:p>
      <w:pPr>
        <w:jc w:val="left"/>
      </w:pPr>
      <w:r>
        <w:t xml:space="preserve">3.1 </w:t>
      </w:r>
      <w:r>
        <w:rPr>
          <w:b/>
        </w:rPr>
        <w:t>Elektrische Ursache.</w:t>
      </w:r>
      <w:r>
        <w:t xml:space="preserve"> Im Bereich des stärksten Abtrags verlief eine Unterverteilung, die 2019 erneuert wurde. Die Wartungsnachweise weisen die letzte Prüfung für den 14.11.2025 aus, ohne Beanstandung. An zwei Leitungsresten wurden Perlbildungen festgestellt. Ob es sich um Primär- oder Sekundärkurzschlüsse handelt, ließ sich metallographisch nicht abschließend klären; beide Befunde sind mit einem Brandeinfluss von außen vereinbar.</w:t>
      </w:r>
    </w:p>
    <w:p>
      <w:pPr>
        <w:jc w:val="left"/>
      </w:pPr>
      <w:r>
        <w:t xml:space="preserve">3.2 </w:t>
      </w:r>
      <w:r>
        <w:rPr>
          <w:b/>
        </w:rPr>
        <w:t>Brandbeschleuniger.</w:t>
      </w:r>
      <w:r>
        <w:t xml:space="preserve"> Die am 05.05.2026 entnommenen Bodenproben 1 bis 4 wurden gaschromatographisch untersucht. In Probe 3, entnommen unmittelbar am Regalfuß der Reihe 8, wurden Spuren von Kohlenwasserstoffen im Siedebereich handelsüblicher Ottokraftstoffe nachgewiesen. In den Proben 1, 2 und 4 wurden keine Fremdstoffe gefunden. Im betroffenen Regalbereich wurden ausweislich der Lagerliste Verpackungsmaterialien und Kunststoffgranulat gelagert; ein bestimmungsgemäßer Eintrag von Ottokraftstoff an dieser Stelle ist danach nicht zu erwarten. Eine Verschleppung durch Löschgerät oder Räumarbeiten kann nicht ausgeschlossen werden, da die Probe erst am dritten Tag nach dem Brand entnommen wurde.</w:t>
      </w:r>
    </w:p>
    <w:p>
      <w:pPr>
        <w:jc w:val="left"/>
      </w:pPr>
      <w:r>
        <w:t xml:space="preserve">3.3 </w:t>
      </w:r>
      <w:r>
        <w:rPr>
          <w:b/>
        </w:rPr>
        <w:t>Selbstentzündung.</w:t>
      </w:r>
      <w:r>
        <w:t xml:space="preserve"> Das gelagerte Granulat neigt nach Herstellerangabe nicht zur Selbsterwärmung. Für einen Schwelbrand mit langer Anlaufzeit fehlen Anhaltspunkte im Brandbild.</w:t>
      </w:r>
    </w:p>
    <w:p>
      <w:pPr>
        <w:pStyle w:val="Heading2"/>
      </w:pPr>
      <w:r>
        <w:rPr>
          <w:rFonts w:ascii="Times New Roman" w:hAnsi="Times New Roman"/>
        </w:rPr>
        <w:t>4 Zusammenfassung der technischen Feststellungen</w:t>
      </w:r>
    </w:p>
    <w:p>
      <w:pPr>
        <w:jc w:val="left"/>
      </w:pPr>
      <w:r>
        <w:t>Der Brandausbruchsbereich liegt mit hoher Wahrscheinlichkeit im Bereich der Regalreihen 7 bis 9. Eine elektrische Ursache ist nicht auszuschließen, aber durch keinen eindeutigen Primärbefund belegt. Der Nachweis von Kohlenwasserstoffen in Probe 3 ist ein Befund, dessen Aussagekraft durch den Zeitpunkt der Probenahme eingeschränkt ist. Weitere Eingrenzungen sind aus technischer Sicht nur möglich, wenn die Originalaufzeichnungen der Videoanlage und die Schaltzustände der Unterverteilung vor Brandausbruch ausgewertet werden können.</w:t>
      </w:r>
    </w:p>
    <w:p>
      <w:pPr>
        <w:jc w:val="left"/>
      </w:pPr>
      <w:r>
        <w:t>Magdeburg, den 12.06.2026 — Dipl.-Ing. Reinhard Kaltenbach</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Staatsanwaltschaft Magdeburg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Staatsanwaltschaft Magdeburg</w:t>
    </w:r>
  </w:p>
  <w:p>
    <w:pPr>
      <w:jc w:val="left"/>
      <w:pBdr>
        <w:bottom w:val="single" w:sz="6" w:space="2" w:color="3B3F45"/>
      </w:pBdr>
    </w:pPr>
    <w:r>
      <w:rPr>
        <w:rFonts w:ascii="Times New Roman" w:hAnsi="Times New Roman"/>
        <w:color w:val="6B6B66"/>
        <w:sz w:val="16"/>
      </w:rPr>
      <w:t>1 Js 5582/26 — Gutachten vom 12.06.2026 · 1 Js 5582/26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