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Auswertung der Geldautomatenaufzeichnungen</w:t>
      </w:r>
    </w:p>
    <w:p>
      <w:pPr>
        <w:jc w:val="left"/>
      </w:pPr>
      <w:r>
        <w:t>Polizeidirektion Leipzig, Kriminalkommissariat 33 (Cybercrime), Dimitroffstraße 1, 04107 Leipzig</w:t>
      </w:r>
    </w:p>
    <w:p>
      <w:pPr>
        <w:jc w:val="left"/>
      </w:pPr>
      <w:r>
        <w:t>Vorgangsnummer: PD-L/2026/077412 — Staatsanwaltschaft Leipzig, 212 Js 6180/26</w:t>
      </w:r>
    </w:p>
    <w:p>
      <w:pPr>
        <w:pStyle w:val="Heading2"/>
      </w:pPr>
      <w:r>
        <w:rPr>
          <w:rFonts w:ascii="Times New Roman" w:hAnsi="Times New Roman"/>
        </w:rPr>
        <w:t>1 Gegenstand</w:t>
      </w:r>
    </w:p>
    <w:p>
      <w:pPr>
        <w:jc w:val="left"/>
      </w:pPr>
      <w:r>
        <w:t>Ausgewertet wurden die Aufzeichnungen der Geldautomaten, an denen nach den Transaktionsdaten der Sparkasse Leipzig am 18. und 19.04.2026 Bargeld vom Konto der Geschädigten abgehoben wurde.</w:t>
      </w:r>
    </w:p>
    <w:p>
      <w:pPr>
        <w:pStyle w:val="Heading2"/>
      </w:pPr>
      <w:r>
        <w:rPr>
          <w:rFonts w:ascii="Times New Roman" w:hAnsi="Times New Roman"/>
        </w:rPr>
        <w:t>2 Übersicht der Aufzeichnungen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Lfd.</w:t>
            </w:r>
          </w:p>
        </w:tc>
        <w:tc>
          <w:tcPr>
            <w:tcW w:type="dxa" w:w="1512"/>
          </w:tcPr>
          <w:p>
            <w:r>
              <w:rPr>
                <w:rFonts w:ascii="Times New Roman" w:hAnsi="Times New Roman"/>
                <w:b/>
                <w:sz w:val="20"/>
              </w:rPr>
              <w:t>Standort</w:t>
            </w:r>
          </w:p>
        </w:tc>
        <w:tc>
          <w:tcPr>
            <w:tcW w:type="dxa" w:w="1512"/>
          </w:tcPr>
          <w:p>
            <w:r>
              <w:rPr>
                <w:rFonts w:ascii="Times New Roman" w:hAnsi="Times New Roman"/>
                <w:b/>
                <w:sz w:val="20"/>
              </w:rPr>
              <w:t>Zeitpunkt laut Bank</w:t>
            </w:r>
          </w:p>
        </w:tc>
        <w:tc>
          <w:tcPr>
            <w:tcW w:type="dxa" w:w="1512"/>
          </w:tcPr>
          <w:p>
            <w:r>
              <w:rPr>
                <w:rFonts w:ascii="Times New Roman" w:hAnsi="Times New Roman"/>
                <w:b/>
                <w:sz w:val="20"/>
              </w:rPr>
              <w:t>Betrag</w:t>
            </w:r>
          </w:p>
        </w:tc>
        <w:tc>
          <w:tcPr>
            <w:tcW w:type="dxa" w:w="1512"/>
          </w:tcPr>
          <w:p>
            <w:r>
              <w:rPr>
                <w:rFonts w:ascii="Times New Roman" w:hAnsi="Times New Roman"/>
                <w:b/>
                <w:sz w:val="20"/>
              </w:rPr>
              <w:t>Aufzeichnung vorhanden</w:t>
            </w:r>
          </w:p>
        </w:tc>
        <w:tc>
          <w:tcPr>
            <w:tcW w:type="dxa" w:w="1512"/>
          </w:tcPr>
          <w:p>
            <w:r>
              <w:rPr>
                <w:rFonts w:ascii="Times New Roman" w:hAnsi="Times New Roman"/>
                <w:b/>
                <w:sz w:val="20"/>
              </w:rPr>
              <w:t>Bildqualität</w:t>
            </w:r>
          </w:p>
        </w:tc>
      </w:tr>
      <w:tr>
        <w:tc>
          <w:tcPr>
            <w:tcW w:type="dxa" w:w="1512"/>
          </w:tcPr>
          <w:p>
            <w:r>
              <w:rPr>
                <w:rFonts w:ascii="Times New Roman" w:hAnsi="Times New Roman"/>
                <w:sz w:val="20"/>
              </w:rPr>
              <w:t>1</w:t>
            </w:r>
          </w:p>
        </w:tc>
        <w:tc>
          <w:tcPr>
            <w:tcW w:type="dxa" w:w="1512"/>
          </w:tcPr>
          <w:p>
            <w:r>
              <w:rPr>
                <w:rFonts w:ascii="Times New Roman" w:hAnsi="Times New Roman"/>
                <w:sz w:val="20"/>
              </w:rPr>
              <w:t>Filiale Leipzig Hauptbahnhof, Automat 3</w:t>
            </w:r>
          </w:p>
        </w:tc>
        <w:tc>
          <w:tcPr>
            <w:tcW w:type="dxa" w:w="1512"/>
          </w:tcPr>
          <w:p>
            <w:r>
              <w:rPr>
                <w:rFonts w:ascii="Times New Roman" w:hAnsi="Times New Roman"/>
                <w:sz w:val="20"/>
              </w:rPr>
              <w:t>18.04.2026, 23:41 Uhr</w:t>
            </w:r>
          </w:p>
        </w:tc>
        <w:tc>
          <w:tcPr>
            <w:tcW w:type="dxa" w:w="1512"/>
          </w:tcPr>
          <w:p>
            <w:r>
              <w:rPr>
                <w:rFonts w:ascii="Times New Roman" w:hAnsi="Times New Roman"/>
                <w:sz w:val="20"/>
              </w:rPr>
              <w:t>1.000 EUR</w:t>
            </w:r>
          </w:p>
        </w:tc>
        <w:tc>
          <w:tcPr>
            <w:tcW w:type="dxa" w:w="1512"/>
          </w:tcPr>
          <w:p>
            <w:r>
              <w:rPr>
                <w:rFonts w:ascii="Times New Roman" w:hAnsi="Times New Roman"/>
                <w:sz w:val="20"/>
              </w:rPr>
              <w:t>ja</w:t>
            </w:r>
          </w:p>
        </w:tc>
        <w:tc>
          <w:tcPr>
            <w:tcW w:type="dxa" w:w="1512"/>
          </w:tcPr>
          <w:p>
            <w:r>
              <w:rPr>
                <w:rFonts w:ascii="Times New Roman" w:hAnsi="Times New Roman"/>
                <w:sz w:val="20"/>
              </w:rPr>
              <w:t>Person von schräg oben, Kapuze, Gesicht nicht erkennbar</w:t>
            </w:r>
          </w:p>
        </w:tc>
      </w:tr>
      <w:tr>
        <w:tc>
          <w:tcPr>
            <w:tcW w:type="dxa" w:w="1512"/>
          </w:tcPr>
          <w:p>
            <w:r>
              <w:rPr>
                <w:rFonts w:ascii="Times New Roman" w:hAnsi="Times New Roman"/>
                <w:sz w:val="20"/>
              </w:rPr>
              <w:t>2</w:t>
            </w:r>
          </w:p>
        </w:tc>
        <w:tc>
          <w:tcPr>
            <w:tcW w:type="dxa" w:w="1512"/>
          </w:tcPr>
          <w:p>
            <w:r>
              <w:rPr>
                <w:rFonts w:ascii="Times New Roman" w:hAnsi="Times New Roman"/>
                <w:sz w:val="20"/>
              </w:rPr>
              <w:t>Filiale Leipzig Hauptbahnhof, Automat 3</w:t>
            </w:r>
          </w:p>
        </w:tc>
        <w:tc>
          <w:tcPr>
            <w:tcW w:type="dxa" w:w="1512"/>
          </w:tcPr>
          <w:p>
            <w:r>
              <w:rPr>
                <w:rFonts w:ascii="Times New Roman" w:hAnsi="Times New Roman"/>
                <w:sz w:val="20"/>
              </w:rPr>
              <w:t>18.04.2026, 23:43 Uhr</w:t>
            </w:r>
          </w:p>
        </w:tc>
        <w:tc>
          <w:tcPr>
            <w:tcW w:type="dxa" w:w="1512"/>
          </w:tcPr>
          <w:p>
            <w:r>
              <w:rPr>
                <w:rFonts w:ascii="Times New Roman" w:hAnsi="Times New Roman"/>
                <w:sz w:val="20"/>
              </w:rPr>
              <w:t>1.000 EUR</w:t>
            </w:r>
          </w:p>
        </w:tc>
        <w:tc>
          <w:tcPr>
            <w:tcW w:type="dxa" w:w="1512"/>
          </w:tcPr>
          <w:p>
            <w:r>
              <w:rPr>
                <w:rFonts w:ascii="Times New Roman" w:hAnsi="Times New Roman"/>
                <w:sz w:val="20"/>
              </w:rPr>
              <w:t>ja</w:t>
            </w:r>
          </w:p>
        </w:tc>
        <w:tc>
          <w:tcPr>
            <w:tcW w:type="dxa" w:w="1512"/>
          </w:tcPr>
          <w:p>
            <w:r>
              <w:rPr>
                <w:rFonts w:ascii="Times New Roman" w:hAnsi="Times New Roman"/>
                <w:sz w:val="20"/>
              </w:rPr>
              <w:t>wie vor, dieselbe Person</w:t>
            </w:r>
          </w:p>
        </w:tc>
      </w:tr>
      <w:tr>
        <w:tc>
          <w:tcPr>
            <w:tcW w:type="dxa" w:w="1512"/>
          </w:tcPr>
          <w:p>
            <w:r>
              <w:rPr>
                <w:rFonts w:ascii="Times New Roman" w:hAnsi="Times New Roman"/>
                <w:sz w:val="20"/>
              </w:rPr>
              <w:t>3</w:t>
            </w:r>
          </w:p>
        </w:tc>
        <w:tc>
          <w:tcPr>
            <w:tcW w:type="dxa" w:w="1512"/>
          </w:tcPr>
          <w:p>
            <w:r>
              <w:rPr>
                <w:rFonts w:ascii="Times New Roman" w:hAnsi="Times New Roman"/>
                <w:sz w:val="20"/>
              </w:rPr>
              <w:t>SB-Standort Grünau, Stuttgarter Allee</w:t>
            </w:r>
          </w:p>
        </w:tc>
        <w:tc>
          <w:tcPr>
            <w:tcW w:type="dxa" w:w="1512"/>
          </w:tcPr>
          <w:p>
            <w:r>
              <w:rPr>
                <w:rFonts w:ascii="Times New Roman" w:hAnsi="Times New Roman"/>
                <w:sz w:val="20"/>
              </w:rPr>
              <w:t>19.04.2026, 00:19 Uhr</w:t>
            </w:r>
          </w:p>
        </w:tc>
        <w:tc>
          <w:tcPr>
            <w:tcW w:type="dxa" w:w="1512"/>
          </w:tcPr>
          <w:p>
            <w:r>
              <w:rPr>
                <w:rFonts w:ascii="Times New Roman" w:hAnsi="Times New Roman"/>
                <w:sz w:val="20"/>
              </w:rPr>
              <w:t>500 EUR</w:t>
            </w:r>
          </w:p>
        </w:tc>
        <w:tc>
          <w:tcPr>
            <w:tcW w:type="dxa" w:w="1512"/>
          </w:tcPr>
          <w:p>
            <w:r>
              <w:rPr>
                <w:rFonts w:ascii="Times New Roman" w:hAnsi="Times New Roman"/>
                <w:sz w:val="20"/>
              </w:rPr>
              <w:t>ja</w:t>
            </w:r>
          </w:p>
        </w:tc>
        <w:tc>
          <w:tcPr>
            <w:tcW w:type="dxa" w:w="1512"/>
          </w:tcPr>
          <w:p>
            <w:r>
              <w:rPr>
                <w:rFonts w:ascii="Times New Roman" w:hAnsi="Times New Roman"/>
                <w:sz w:val="20"/>
              </w:rPr>
              <w:t>Person mit Basecap, Gesicht teilweise sichtbar, starkes Gegenlicht</w:t>
            </w:r>
          </w:p>
        </w:tc>
      </w:tr>
      <w:tr>
        <w:tc>
          <w:tcPr>
            <w:tcW w:type="dxa" w:w="1512"/>
          </w:tcPr>
          <w:p>
            <w:r>
              <w:rPr>
                <w:rFonts w:ascii="Times New Roman" w:hAnsi="Times New Roman"/>
                <w:sz w:val="20"/>
              </w:rPr>
              <w:t>4</w:t>
            </w:r>
          </w:p>
        </w:tc>
        <w:tc>
          <w:tcPr>
            <w:tcW w:type="dxa" w:w="1512"/>
          </w:tcPr>
          <w:p>
            <w:r>
              <w:rPr>
                <w:rFonts w:ascii="Times New Roman" w:hAnsi="Times New Roman"/>
                <w:sz w:val="20"/>
              </w:rPr>
              <w:t>Filiale Connewitz, Bornaische Straße</w:t>
            </w:r>
          </w:p>
        </w:tc>
        <w:tc>
          <w:tcPr>
            <w:tcW w:type="dxa" w:w="1512"/>
          </w:tcPr>
          <w:p>
            <w:r>
              <w:rPr>
                <w:rFonts w:ascii="Times New Roman" w:hAnsi="Times New Roman"/>
                <w:sz w:val="20"/>
              </w:rPr>
              <w:t>19.04.2026, 08:07 Uhr</w:t>
            </w:r>
          </w:p>
        </w:tc>
        <w:tc>
          <w:tcPr>
            <w:tcW w:type="dxa" w:w="1512"/>
          </w:tcPr>
          <w:p>
            <w:r>
              <w:rPr>
                <w:rFonts w:ascii="Times New Roman" w:hAnsi="Times New Roman"/>
                <w:sz w:val="20"/>
              </w:rPr>
              <w:t>800 EUR</w:t>
            </w:r>
          </w:p>
        </w:tc>
        <w:tc>
          <w:tcPr>
            <w:tcW w:type="dxa" w:w="1512"/>
          </w:tcPr>
          <w:p>
            <w:r>
              <w:rPr>
                <w:rFonts w:ascii="Times New Roman" w:hAnsi="Times New Roman"/>
                <w:sz w:val="20"/>
              </w:rPr>
              <w:t>nein</w:t>
            </w:r>
          </w:p>
        </w:tc>
        <w:tc>
          <w:tcPr>
            <w:tcW w:type="dxa" w:w="1512"/>
          </w:tcPr>
          <w:p>
            <w:r>
              <w:rPr>
                <w:rFonts w:ascii="Times New Roman" w:hAnsi="Times New Roman"/>
                <w:sz w:val="20"/>
              </w:rPr>
              <w:t>Aufzeichnung nach Ablauf der Speicherfrist gelöscht</w:t>
            </w:r>
          </w:p>
        </w:tc>
      </w:tr>
    </w:tbl>
    <w:p>
      <w:pPr>
        <w:pStyle w:val="Heading2"/>
      </w:pPr>
      <w:r>
        <w:rPr>
          <w:rFonts w:ascii="Times New Roman" w:hAnsi="Times New Roman"/>
        </w:rPr>
        <w:t>3 Technische Feststellungen</w:t>
      </w:r>
    </w:p>
    <w:p>
      <w:pPr>
        <w:jc w:val="left"/>
      </w:pPr>
      <w:r>
        <w:t>Die Automaten der Sparkasse zeichnen mit einer Auflösung von 640 mal 480 Bildpunkten und einer Bildrate von zwei Bildern je Sekunde auf. Die Kameras sind oberhalb des Bildschirms angebracht und erfassen den Kopfbereich aus einem Winkel von etwa fünfzig Grad von oben.</w:t>
      </w:r>
    </w:p>
    <w:p>
      <w:pPr>
        <w:jc w:val="left"/>
      </w:pPr>
      <w:r>
        <w:t>Bei den Aufnahmen 1 und 2 verdeckt die Kapuze das Gesicht bis zur Nasenwurzel. Eine belastbare Aussage zur Identität ist anhand dieser Aufnahmen aus technischer Sicht nicht möglich; auch eine Gesichtserkennung wurde deshalb nicht durchgeführt.</w:t>
      </w:r>
    </w:p>
    <w:p>
      <w:pPr>
        <w:jc w:val="left"/>
      </w:pPr>
      <w:r>
        <w:t>Bei Aufnahme 3 sind Kinn, Mund und der untere Bereich der Nase erkennbar. Das Gegenlicht der Standortbeleuchtung führt zu einer Überstrahlung der oberen Gesichtshälfte. Eine Bildaufhellung wurde vorgenommen; sie verbessert die Erkennbarkeit nicht wesentlich, weil in den überstrahlten Bereichen keine Bildinformation vorliegt.</w:t>
      </w:r>
    </w:p>
    <w:p>
      <w:pPr>
        <w:jc w:val="left"/>
      </w:pPr>
      <w:r>
        <w:t>Auf allen verwertbaren Aufnahmen trägt die Person eine dunkle Jacke mit heller Aufschrift am linken Ärmel; die Aufschrift ist nicht lesbar.</w:t>
      </w:r>
    </w:p>
    <w:p>
      <w:pPr>
        <w:pStyle w:val="Heading2"/>
      </w:pPr>
      <w:r>
        <w:rPr>
          <w:rFonts w:ascii="Times New Roman" w:hAnsi="Times New Roman"/>
        </w:rPr>
        <w:t>4 Speicherfristen</w:t>
      </w:r>
    </w:p>
    <w:p>
      <w:pPr>
        <w:jc w:val="left"/>
      </w:pPr>
      <w:r>
        <w:t>Die Sparkasse Leipzig löscht Aufzeichnungen der SB-Bereiche nach Ablauf von vierundzwanzig Stunden, in Filialen nach zweiundsiebzig Stunden. Die Anforderung der Polizei ging am 22.04.2026 ein. Die Aufzeichnung zu Position 4 war zu diesem Zeitpunkt bereits gelöscht.</w:t>
      </w:r>
    </w:p>
    <w:p>
      <w:pPr>
        <w:jc w:val="left"/>
      </w:pPr>
      <w:r>
        <w:t>Leipzig, den 11.06.2026 — KHK Ralf Zieschang, KK 33</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Leipzig</w:t>
    </w:r>
  </w:p>
  <w:p>
    <w:pPr>
      <w:jc w:val="left"/>
      <w:pBdr>
        <w:bottom w:val="single" w:sz="6" w:space="2" w:color="3B3F45"/>
      </w:pBdr>
    </w:pPr>
    <w:r>
      <w:rPr>
        <w:rFonts w:ascii="Times New Roman" w:hAnsi="Times New Roman"/>
        <w:color w:val="6B6B66"/>
        <w:sz w:val="16"/>
      </w:rPr>
      <w:t>212 Js 6180/26 · 212 Js 6180/26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