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Grundrechte-Folgenabschätzung (FRIA) — Einsatz „AntragsLotse Pro" im Amt für Soziales und Teilhabe</w:t>
      </w:r>
    </w:p>
    <w:p>
      <w:pPr>
        <w:jc w:val="left"/>
      </w:pPr>
      <w:r>
        <w:rPr>
          <w:b/>
        </w:rPr>
        <w:t>Stadt Duisburg</w:t>
      </w:r>
    </w:p>
    <w:p>
      <w:pPr>
        <w:jc w:val="left"/>
      </w:pPr>
      <w:r>
        <w:t>Amt für Soziales und Teilhabe (Amt 50)</w:t>
      </w:r>
    </w:p>
    <w:p>
      <w:pPr>
        <w:jc w:val="left"/>
      </w:pPr>
      <w:r>
        <w:t>Schwanenstraße 5–7, 47051 Duisburg</w:t>
      </w:r>
    </w:p>
    <w:p>
      <w:pPr>
        <w:jc w:val="left"/>
      </w:pPr>
      <w:r>
        <w:t>Aktenzeichen: 50-2/AL-2026-014</w:t>
      </w:r>
    </w:p>
    <w:p>
      <w:pPr>
        <w:jc w:val="left"/>
      </w:pPr>
      <w:r>
        <w:t>Verfasserin: Dorothea Krahnenfeld, Amtsleiterin</w:t>
      </w:r>
    </w:p>
    <w:p>
      <w:pPr>
        <w:jc w:val="left"/>
      </w:pPr>
      <w:r>
        <w:t>Mitwirkung: Bernd Ottweiler (SG 50-2), Murat Özdemir (Amt 10), Dr. Ines Kabuschat (städtische Datenschutzbeauftragte, beratend)</w:t>
      </w:r>
    </w:p>
    <w:p>
      <w:pPr>
        <w:jc w:val="left"/>
      </w:pPr>
      <w:r>
        <w:t>Datum: 18.12.2025 | Status: abgeschlossen, von der Dezernentin gebilligt am 22.12.2025</w:t>
      </w:r>
    </w:p>
    <w:p>
      <w:pPr>
        <w:jc w:val="left"/>
      </w:pPr>
      <w:r>
        <w:rPr>
          <w:i/>
        </w:rPr>
        <w:t>Exporthinweis: Endausgabe in Times New Roman, 11 pt, dezimale Gliederung.</w:t>
      </w:r>
    </w:p>
    <w:p>
      <w:pPr>
        <w:pStyle w:val="Heading2"/>
      </w:pPr>
      <w:r>
        <w:rPr>
          <w:rFonts w:ascii="Times New Roman" w:hAnsi="Times New Roman"/>
        </w:rPr>
        <w:t>1 Gegenstand und Rechtsgrundlage</w:t>
      </w:r>
    </w:p>
    <w:p>
      <w:pPr>
        <w:jc w:val="left"/>
      </w:pPr>
      <w:r>
        <w:t>Diese Grundrechte-Folgenabschätzung wird vor der Inbetriebnahme des Hochrisiko-KI-Systems „AntragsLotse Pro" (Civitas Software GmbH, Version 3.2) erstellt. Die Stadt Duisburg setzt das System als Betreiberin und als Einrichtung des öffentlichen Rechts ein; die Verordnung (EU) 2024/1689 verlangt von öffentlichen Betreibern bestimmter Hochrisiko-KI-Systeme vor der ersten Verwendung eine Abschätzung der Auswirkungen auf die Grundrechte [Normstand zu verifizieren]. Diese Abschätzung ergänzt die datenschutzrechtliche Folgenabschätzung nach Art. 35 DSGVO vom 11.12.2025 und verweist auf deren technische Anlagen.</w:t>
      </w:r>
    </w:p>
    <w:p>
      <w:pPr>
        <w:pStyle w:val="Heading2"/>
      </w:pPr>
      <w:r>
        <w:rPr>
          <w:rFonts w:ascii="Times New Roman" w:hAnsi="Times New Roman"/>
        </w:rPr>
        <w:t>2 Beschreibung des Verwendungsprozesses</w:t>
      </w:r>
    </w:p>
    <w:p>
      <w:pPr>
        <w:pStyle w:val="Heading3"/>
      </w:pPr>
      <w:r>
        <w:rPr>
          <w:rFonts w:ascii="Times New Roman" w:hAnsi="Times New Roman"/>
        </w:rPr>
        <w:t>2.1 Ablauf</w:t>
      </w:r>
    </w:p>
    <w:p>
      <w:pPr>
        <w:jc w:val="left"/>
      </w:pPr>
      <w:r>
        <w:t>Eingehende Anträge auf Hilfe zum Lebensunterhalt, Grundsicherung im Alter, Eingliederungshilfe und Hilfe zur Pflege werden nach der Posteingangserfassung durch das System bewertet. Das System vergibt einen Prioritäts-Score und ordnet die Anträge den Warteschlangen „Standard" oder „prüfintensiv" zu. Die Sachbearbeitung arbeitet die Warteschlangen ab; die Leistungsentscheidung trifft ausschließlich die Sachbearbeitung.</w:t>
      </w:r>
    </w:p>
    <w:p>
      <w:pPr>
        <w:pStyle w:val="Heading3"/>
      </w:pPr>
      <w:r>
        <w:rPr>
          <w:rFonts w:ascii="Times New Roman" w:hAnsi="Times New Roman"/>
        </w:rPr>
        <w:t>2.2 Verwendungsdauer und Häufigkeit</w:t>
      </w:r>
    </w:p>
    <w:p>
      <w:pPr>
        <w:jc w:val="left"/>
      </w:pPr>
      <w:r>
        <w:t>Der Einsatz ist dauerhaft im Regelbetrieb vorgesehen, betroffen sind sämtliche Neuanträge des Amtes, prognostisch rund 9.000 Vorgänge jährlich.</w:t>
      </w:r>
    </w:p>
    <w:p>
      <w:pPr>
        <w:pStyle w:val="Heading3"/>
      </w:pPr>
      <w:r>
        <w:rPr>
          <w:rFonts w:ascii="Times New Roman" w:hAnsi="Times New Roman"/>
        </w:rPr>
        <w:t>2.3 Betroffene Personengruppen</w:t>
      </w:r>
    </w:p>
    <w:p>
      <w:pPr>
        <w:jc w:val="left"/>
      </w:pPr>
      <w:r>
        <w:t>Betroffen sind Antragstellerinnen und Antragsteller existenzsichernder Leistungen, darunter in erheblichem Umfang ältere Menschen, Menschen mit Behinderungen und Personen mit Migrationsgeschichte.</w:t>
      </w:r>
    </w:p>
    <w:p>
      <w:pPr>
        <w:pStyle w:val="Heading2"/>
      </w:pPr>
      <w:r>
        <w:rPr>
          <w:rFonts w:ascii="Times New Roman" w:hAnsi="Times New Roman"/>
        </w:rPr>
        <w:t>3 Risikoanalyse</w:t>
      </w:r>
    </w:p>
    <w:p>
      <w:pPr>
        <w:pStyle w:val="Heading3"/>
      </w:pPr>
      <w:r>
        <w:rPr>
          <w:rFonts w:ascii="Times New Roman" w:hAnsi="Times New Roman"/>
        </w:rPr>
        <w:t>3.1 Risiko verzögerter Existenzsicherung</w:t>
      </w:r>
    </w:p>
    <w:p>
      <w:pPr>
        <w:jc w:val="left"/>
      </w:pPr>
      <w:r>
        <w:t>Eine fehlerhafte Zuordnung zur Warteschlange „prüfintensiv" verlängert die Wartezeit auf existenzsichernde Leistungen. Bewertung: mittel. Abhilfe: Die Betriebsanleitung verlangt die Sichtung jedes prüfintensiven Antrags binnen zehn Arbeitstagen; die Dienstanweisung übernimmt diese Vorgabe.</w:t>
      </w:r>
    </w:p>
    <w:p>
      <w:pPr>
        <w:pStyle w:val="Heading3"/>
      </w:pPr>
      <w:r>
        <w:rPr>
          <w:rFonts w:ascii="Times New Roman" w:hAnsi="Times New Roman"/>
        </w:rPr>
        <w:t>3.2 Risiko mittelbarer Diskriminierung</w:t>
      </w:r>
    </w:p>
    <w:p>
      <w:pPr>
        <w:jc w:val="left"/>
      </w:pPr>
      <w:r>
        <w:t xml:space="preserve">Denkbar ist, dass herkunftsbezogene Merkmale unmittelbar oder über Ersatzmerkmale (Proxy-Variablen) die Priorisierung beeinflussen und Personen mit ausländischem Geburtsort systematisch benachteiligen. Bewertung: </w:t>
      </w:r>
      <w:r>
        <w:rPr>
          <w:b/>
        </w:rPr>
        <w:t>gering</w:t>
      </w:r>
      <w:r>
        <w:t>. Begründung: Das ausgelieferte Standardregelwerk S-1 verarbeitet keine herkunftsbezogenen Merkmale; der Hersteller hat die diskriminierungsfreie Kalibrierung vertraglich zugesichert (Ziffer 7.3 des Vertrages vom 15.09.2025). Da für die Verifikation ausländischer Urkunden das Regelwerk R-7 aktiviert wird, entsteht zwar ein herkunftsbezogener Eingangskanal; die dadurch bewirkten Unterschiede beruhen jedoch auf dem objektiv erhöhten Verifikationsaufwand und nicht auf der Herkunft als solcher. Eine nennenswerte Ungleichbehandlung ist daher nicht zu erwarten. Auf ein gesondertes laufendes Monitoring der Wartezeiten nach Herkunftsgruppen wird mit Blick auf den Erfassungsaufwand zunächst verzichtet; der vierteljährliche Fairness-Bericht des Herstellers wird als ausreichend angesehen.</w:t>
      </w:r>
    </w:p>
    <w:p>
      <w:pPr>
        <w:pStyle w:val="Heading3"/>
      </w:pPr>
      <w:r>
        <w:rPr>
          <w:rFonts w:ascii="Times New Roman" w:hAnsi="Times New Roman"/>
        </w:rPr>
        <w:t>3.3 Risiko der Automatisierungsverzerrung</w:t>
      </w:r>
    </w:p>
    <w:p>
      <w:pPr>
        <w:jc w:val="left"/>
      </w:pPr>
      <w:r>
        <w:t>Es besteht das Risiko, dass die Sachbearbeitung Systemvorschläge ungeprüft übernimmt. Bewertung: gering bis mittel. Abhilfe: verpflichtende Schulung (Module 1 und 2), Dienstanweisung mit ausdrücklicher Abweichungsbefugnis, stichprobenhafte Qualitätskontrolle durch die Sachgebietsleitung.</w:t>
      </w:r>
    </w:p>
    <w:p>
      <w:pPr>
        <w:pStyle w:val="Heading3"/>
      </w:pPr>
      <w:r>
        <w:rPr>
          <w:rFonts w:ascii="Times New Roman" w:hAnsi="Times New Roman"/>
        </w:rPr>
        <w:t>3.4 Risiko unzureichender Transparenz gegenüber Betroffenen</w:t>
      </w:r>
    </w:p>
    <w:p>
      <w:pPr>
        <w:jc w:val="left"/>
      </w:pPr>
      <w:r>
        <w:t>Betroffene könnten nicht erkennen, dass ein KI-System an der Steuerung ihrer Antragsbearbeitung mitwirkt. Abhilfe: Hinweisblatt zur Antragseingangsbestätigung ab Januar 2026, Information auf der Internetseite des Amtes.</w:t>
      </w:r>
    </w:p>
    <w:p>
      <w:pPr>
        <w:pStyle w:val="Heading2"/>
      </w:pPr>
      <w:r>
        <w:rPr>
          <w:rFonts w:ascii="Times New Roman" w:hAnsi="Times New Roman"/>
        </w:rPr>
        <w:t>4 Aufsichts- und Beschwerdeverfahren</w:t>
      </w:r>
    </w:p>
    <w:p>
      <w:pPr>
        <w:jc w:val="left"/>
      </w:pPr>
      <w:r>
        <w:t>Die menschliche Aufsicht liegt bei den geschulten Sachbearbeiterinnen und Sachbearbeitern des SG 50-2, die fachliche Gesamtaufsicht bei der Sachgebietsleitung. Beschwerden Betroffener werden über das zentrale Beschwerdemanagement der Stadt bearbeitet. Schwerwiegende Vorfälle werden unverzüglich dem Hersteller und der zuständigen Marktüberwachungsbehörde gemeldet [Normstand zu verifizieren].</w:t>
      </w:r>
    </w:p>
    <w:p>
      <w:pPr>
        <w:pStyle w:val="Heading2"/>
      </w:pPr>
      <w:r>
        <w:rPr>
          <w:rFonts w:ascii="Times New Roman" w:hAnsi="Times New Roman"/>
        </w:rPr>
        <w:t>5 Gesamtergebnis</w:t>
      </w:r>
    </w:p>
    <w:p>
      <w:pPr>
        <w:jc w:val="left"/>
      </w:pPr>
      <w:r>
        <w:t>Der Einsatz von „AntragsLotse Pro" ist unter den beschriebenen Vorkehrungen grundrechtlich vertretbar. Wesentliche Restrisiken verbleiben nach Einschätzung der Verfasserin nicht. Die Abschätzung ist bei wesentlichen Änderungen der Konfiguration zu aktualisieren; die Aktivierung des Regelwerks R-7 zum 05.01.2026 gilt als von dieser Abschätzung umfasst.</w:t>
      </w:r>
    </w:p>
    <w:p>
      <w:pPr>
        <w:jc w:val="left"/>
      </w:pPr>
      <w:r>
        <w:t>gez. Krahnenfeld</w:t>
      </w:r>
    </w:p>
    <w:p>
      <w:pPr>
        <w:jc w:val="left"/>
      </w:pPr>
      <w:r>
        <w:t>Amtsleiterin</w:t>
      </w:r>
    </w:p>
    <w:p>
      <w:pPr>
        <w:jc w:val="left"/>
      </w:pPr>
      <w:r>
        <w:t>Gebilligt: gez. Immenkötter, Stadträtin, Dezernat für Soziales, 22.12.2025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