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Dienstanweisung Nr. 50-01/2026 — Einsatz des Systems „AntragsLotse Pro"</w:t>
      </w:r>
    </w:p>
    <w:p>
      <w:pPr>
        <w:jc w:val="left"/>
      </w:pPr>
      <w:r>
        <w:rPr>
          <w:b/>
        </w:rPr>
        <w:t>Stadt Duisburg</w:t>
      </w:r>
    </w:p>
    <w:p>
      <w:pPr>
        <w:jc w:val="left"/>
      </w:pPr>
      <w:r>
        <w:t>Amt für Soziales und Teilhabe (Amt 50)</w:t>
      </w:r>
    </w:p>
    <w:p>
      <w:pPr>
        <w:jc w:val="left"/>
      </w:pPr>
      <w:r>
        <w:t>Schwanenstraße 5–7, 47051 Duisburg</w:t>
      </w:r>
    </w:p>
    <w:p>
      <w:pPr>
        <w:jc w:val="left"/>
      </w:pPr>
      <w:r>
        <w:t>Aktenzeichen: 50-2/AL-2026-014</w:t>
      </w:r>
    </w:p>
    <w:p>
      <w:pPr>
        <w:jc w:val="left"/>
      </w:pPr>
      <w:r>
        <w:t>Erlassen durch: Dorothea Krahnenfeld, Amtsleiterin</w:t>
      </w:r>
    </w:p>
    <w:p>
      <w:pPr>
        <w:jc w:val="left"/>
      </w:pPr>
      <w:r>
        <w:t>Datum: 02.01.2026 | In Kraft ab: 05.01.2026</w:t>
      </w:r>
    </w:p>
    <w:p>
      <w:pPr>
        <w:jc w:val="left"/>
      </w:pPr>
      <w:r>
        <w:t>Verteiler: alle Beschäftigten des SG 50-2, IT-Koordination, Datenschutzbeauftragte, Personalrat</w:t>
      </w:r>
    </w:p>
    <w:p>
      <w:pPr>
        <w:jc w:val="left"/>
      </w:pPr>
      <w:r>
        <w:rPr>
          <w:i/>
        </w:rPr>
        <w:t>Exporthinweis: Endausgabe in Times New Roman, 11 pt, dezimale Gliederung.</w:t>
      </w:r>
    </w:p>
    <w:p>
      <w:pPr>
        <w:pStyle w:val="Heading2"/>
      </w:pPr>
      <w:r>
        <w:rPr>
          <w:rFonts w:ascii="Times New Roman" w:hAnsi="Times New Roman"/>
        </w:rPr>
        <w:t>1 Geltungsbereich</w:t>
      </w:r>
    </w:p>
    <w:p>
      <w:pPr>
        <w:jc w:val="left"/>
      </w:pPr>
      <w:r>
        <w:t>Diese Dienstanweisung regelt die Verwendung des Softwaremoduls „AntragsLotse Pro" (Civitas Software GmbH, Version 3.2) im Sachgebiet Leistungsgewährung. Sie setzt die Betreiberpflichten der Stadt Duisburg nach der Verordnung (EU) 2024/1689 um [Normstand zu verifizieren] und konkretisiert die Betriebsanleitung des Herstellers (Dokument BA-ALP-3.2-DE, Stand Oktober 2025), die in ihrer jeweils gültigen Fassung verbindlicher Bestandteil dieser Anweisung ist.</w:t>
      </w:r>
    </w:p>
    <w:p>
      <w:pPr>
        <w:pStyle w:val="Heading2"/>
      </w:pPr>
      <w:r>
        <w:rPr>
          <w:rFonts w:ascii="Times New Roman" w:hAnsi="Times New Roman"/>
        </w:rPr>
        <w:t>2 Grundsätze der Verwendung</w:t>
      </w:r>
    </w:p>
    <w:p>
      <w:pPr>
        <w:pStyle w:val="Heading3"/>
      </w:pPr>
      <w:r>
        <w:rPr>
          <w:rFonts w:ascii="Times New Roman" w:hAnsi="Times New Roman"/>
        </w:rPr>
        <w:t>2.1 Unterstützungsfunktion</w:t>
      </w:r>
    </w:p>
    <w:p>
      <w:pPr>
        <w:jc w:val="left"/>
      </w:pPr>
      <w:r>
        <w:t>Das System unterstützt die Reihenfolgebildung. Es trifft keine Leistungsentscheidung und ersetzt keine fachliche Prüfung. Jede Leistungsentscheidung wird von der zuständigen Sachbearbeitung eigenverantwortlich getroffen und begründet.</w:t>
      </w:r>
    </w:p>
    <w:p>
      <w:pPr>
        <w:pStyle w:val="Heading3"/>
      </w:pPr>
      <w:r>
        <w:rPr>
          <w:rFonts w:ascii="Times New Roman" w:hAnsi="Times New Roman"/>
        </w:rPr>
        <w:t>2.2 Bedienberechtigung</w:t>
      </w:r>
    </w:p>
    <w:p>
      <w:pPr>
        <w:jc w:val="left"/>
      </w:pPr>
      <w:r>
        <w:t>Das System darf nur von Beschäftigten bedient werden, die beide Schulungsmodule des Herstellers absolviert haben. Die Sachgebietsleitung führt die Schulungsnachweise und sperrt Kennungen nicht geschulter Beschäftigter.</w:t>
      </w:r>
    </w:p>
    <w:p>
      <w:pPr>
        <w:pStyle w:val="Heading3"/>
      </w:pPr>
      <w:r>
        <w:rPr>
          <w:rFonts w:ascii="Times New Roman" w:hAnsi="Times New Roman"/>
        </w:rPr>
        <w:t>2.3 Menschliche Aufsicht</w:t>
      </w:r>
    </w:p>
    <w:p>
      <w:pPr>
        <w:jc w:val="left"/>
      </w:pPr>
      <w:r>
        <w:t>Systemvorschläge sind inhaltlich zu prüfen. Jeder als „prüfintensiv" eingestufte Antrag ist binnen zehn Arbeitstagen nach Eingang zu sichten; bestätigt die Sichtung den erhöhten Verifikationsbedarf nicht, ist der Antrag unverzüglich manuell auf „Standard" zurückzustufen. Die Rückstufung ist mit Kurzbegründung im Fachverfahren zu vermerken. Die Beschäftigten sind ausdrücklich befugt und verpflichtet, von Systemvorschlägen abzuweichen, wenn der Einzelfall dies gebietet.</w:t>
      </w:r>
    </w:p>
    <w:p>
      <w:pPr>
        <w:pStyle w:val="Heading3"/>
      </w:pPr>
      <w:r>
        <w:rPr>
          <w:rFonts w:ascii="Times New Roman" w:hAnsi="Times New Roman"/>
        </w:rPr>
        <w:t>2.4 Kontrolle der Eingabedaten</w:t>
      </w:r>
    </w:p>
    <w:p>
      <w:pPr>
        <w:jc w:val="left"/>
      </w:pPr>
      <w:r>
        <w:t>Vor der Übergabe an das System ist die Posteingangserfassung auf Vollständigkeit und offensichtliche Erfassungsfehler zu kontrollieren. Fehlerhafte Eingabedaten sind zu korrigieren, bevor der Antrag der Warteschlange zugeordnet wird.</w:t>
      </w:r>
    </w:p>
    <w:p>
      <w:pPr>
        <w:pStyle w:val="Heading2"/>
      </w:pPr>
      <w:r>
        <w:rPr>
          <w:rFonts w:ascii="Times New Roman" w:hAnsi="Times New Roman"/>
        </w:rPr>
        <w:t>3 Protokolle und Aufbewahrung</w:t>
      </w:r>
    </w:p>
    <w:p>
      <w:pPr>
        <w:jc w:val="left"/>
      </w:pPr>
      <w:r>
        <w:t>Die automatisch erzeugten Systemprotokolle (Score-Vergaben, Warteschlangen-Zuordnungen, Übersteuerungen, Konfigurationsänderungen) werden durch die IT-Koordination monatlich exportiert und für mindestens zwölf Monate revisionssicher aufbewahrt; längere gesetzliche Aufbewahrungspflichten bleiben unberührt [Normstand zu verifizieren].</w:t>
      </w:r>
    </w:p>
    <w:p>
      <w:pPr>
        <w:pStyle w:val="Heading2"/>
      </w:pPr>
      <w:r>
        <w:rPr>
          <w:rFonts w:ascii="Times New Roman" w:hAnsi="Times New Roman"/>
        </w:rPr>
        <w:t>4 Information der Betroffenen</w:t>
      </w:r>
    </w:p>
    <w:p>
      <w:pPr>
        <w:jc w:val="left"/>
      </w:pPr>
      <w:r>
        <w:t>Mit jeder Eingangsbestätigung ist das Hinweisblatt „Automationsunterstützte Antragssteuerung" zu versenden. Auf Nachfrage ist Betroffenen zu erläutern, dass ein KI-System die Bearbeitungsreihenfolge vorschlägt, die Entscheidung aber von Menschen getroffen wird.</w:t>
      </w:r>
    </w:p>
    <w:p>
      <w:pPr>
        <w:pStyle w:val="Heading2"/>
      </w:pPr>
      <w:r>
        <w:rPr>
          <w:rFonts w:ascii="Times New Roman" w:hAnsi="Times New Roman"/>
        </w:rPr>
        <w:t>5 Störungen und schwerwiegende Vorfälle</w:t>
      </w:r>
    </w:p>
    <w:p>
      <w:pPr>
        <w:jc w:val="left"/>
      </w:pPr>
      <w:r>
        <w:t>Fehlfunktionen, auffällige Priorisierungsmuster und Beschwerden mit Bezug zum System sind unverzüglich der Sachgebietsleitung und der IT-Koordination zu melden. Ergibt die Prüfung Anhaltspunkte für einen schwerwiegenden Vorfall im Sinne der Verordnung (EU) 2024/1689, veranlasst die Amtsleitung die Meldung an den Hersteller und an die zuständige Marktüberwachungsbehörde [Normstand zu verifizieren].</w:t>
      </w:r>
    </w:p>
    <w:p>
      <w:pPr>
        <w:pStyle w:val="Heading2"/>
      </w:pPr>
      <w:r>
        <w:rPr>
          <w:rFonts w:ascii="Times New Roman" w:hAnsi="Times New Roman"/>
        </w:rPr>
        <w:t>6 Monatliches Fairness-Monitoring</w:t>
      </w:r>
    </w:p>
    <w:p>
      <w:pPr>
        <w:jc w:val="left"/>
      </w:pPr>
      <w:r>
        <w:t>Die Sachgebietsleitung ruft monatlich den Monitoring-Bericht des Systems ab. Die Auswertung nach Vergleichsgruppen gemäß Abschnitt 8 der Betriebsanleitung erfolgt anlassbezogen; über die Aufnahme einer laufenden gruppenbezogenen Auswertung entscheidet die Amtsleitung nach den ersten sechs Betriebsmonaten.</w:t>
      </w:r>
    </w:p>
    <w:p>
      <w:pPr>
        <w:pStyle w:val="Heading2"/>
      </w:pPr>
      <w:r>
        <w:rPr>
          <w:rFonts w:ascii="Times New Roman" w:hAnsi="Times New Roman"/>
        </w:rPr>
        <w:t>7 Inkrafttreten</w:t>
      </w:r>
    </w:p>
    <w:p>
      <w:pPr>
        <w:jc w:val="left"/>
      </w:pPr>
      <w:r>
        <w:t>Diese Dienstanweisung tritt am 05.01.2026 mit der Inbetriebnahme des Systems in Kraft.</w:t>
      </w:r>
    </w:p>
    <w:p>
      <w:pPr>
        <w:jc w:val="left"/>
      </w:pPr>
      <w:r>
        <w:t>gez. Krahnenfeld</w:t>
      </w:r>
    </w:p>
    <w:p>
      <w:pPr>
        <w:jc w:val="left"/>
      </w:pPr>
      <w:r>
        <w:t>Amtsleiterin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