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Revisionsvermerk — Sonderprüfung „AntragsLotse Pro" (Auftrag der Amtsleitung Amt 50 vom 12.05.2026)</w:t>
      </w:r>
    </w:p>
    <w:p>
      <w:pPr>
        <w:jc w:val="left"/>
      </w:pPr>
      <w:r>
        <w:rPr>
          <w:b/>
        </w:rPr>
        <w:t>Stadt Duisburg</w:t>
      </w:r>
    </w:p>
    <w:p>
      <w:pPr>
        <w:jc w:val="left"/>
      </w:pPr>
      <w:r>
        <w:t>Rechnungsprüfungsamt (Amt 14)</w:t>
      </w:r>
    </w:p>
    <w:p>
      <w:pPr>
        <w:jc w:val="left"/>
      </w:pPr>
      <w:r>
        <w:t>Burgplatz 19, 47051 Duisburg</w:t>
      </w:r>
    </w:p>
    <w:p>
      <w:pPr>
        <w:jc w:val="left"/>
      </w:pPr>
      <w:r>
        <w:t>Aktenzeichen: 14-S-2026-027</w:t>
      </w:r>
    </w:p>
    <w:p>
      <w:pPr>
        <w:jc w:val="left"/>
      </w:pPr>
      <w:r>
        <w:t>Prüfer: Claas Wiedenbrügge, Rechnungsprüfungsamt</w:t>
      </w:r>
    </w:p>
    <w:p>
      <w:pPr>
        <w:jc w:val="left"/>
      </w:pPr>
      <w:r>
        <w:t>Datum: 12.06.2026 | Verteiler: Amtsleitung Amt 50, Dezernat für Soziales, städtische Datenschutzbeauftragte</w:t>
      </w:r>
    </w:p>
    <w:p>
      <w:pPr>
        <w:jc w:val="left"/>
      </w:pPr>
      <w:r>
        <w:rPr>
          <w:i/>
        </w:rPr>
        <w:t>Exporthinweis: Endausgabe in Times New Roman, 11 pt, dezimale Gliederung.</w:t>
      </w:r>
    </w:p>
    <w:p>
      <w:pPr>
        <w:pStyle w:val="Heading2"/>
      </w:pPr>
      <w:r>
        <w:rPr>
          <w:rFonts w:ascii="Times New Roman" w:hAnsi="Times New Roman"/>
        </w:rPr>
        <w:t>1 Prüfauftrag und Vorgehen</w:t>
      </w:r>
    </w:p>
    <w:p>
      <w:pPr>
        <w:jc w:val="left"/>
      </w:pPr>
      <w:r>
        <w:t xml:space="preserve">Die Amtsleiterin des Amtes für Soziales und Teilhabe hat am 12.05.2026 anlässlich der Beschwerde der Antragstellerin AST-2026-0016 und mehrerer gleichgerichteter Eingaben eine Sonderprüfung des Systems „AntragsLotse Pro" beauftragt. Geprüft wurden die Konfigurationshistorie, die Einhaltung der Dienstanweisung Nr. 50-01/2026, die Schulungs- und Aufsichtspraxis sowie stichprobenhaft einzelne Vorgänge. Die vollständigen Rohdaten — das Priorisierungslog (Export vom 02.06.2026, Zeitraum Januar bis Mai 2026) und die Bearbeitungszeiten-Übersicht des Fachverfahrens — sind der Akte als Anlagen beigefügt. </w:t>
      </w:r>
      <w:r>
        <w:rPr>
          <w:b/>
        </w:rPr>
        <w:t>Eine eigene statistische Auswertung der Rohdaten hat das Rechnungsprüfungsamt aus Kapazitätsgründen noch nicht vorgenommen; sie ist durch die mandatierte Stelle nachzuholen und gegen die Risikoeinschätzung der Grundrechte-Folgenabschätzung vom 18.12.2025 zu halten.</w:t>
      </w:r>
    </w:p>
    <w:p>
      <w:pPr>
        <w:pStyle w:val="Heading2"/>
      </w:pPr>
      <w:r>
        <w:rPr>
          <w:rFonts w:ascii="Times New Roman" w:hAnsi="Times New Roman"/>
        </w:rPr>
        <w:t>2 Feststellungen zur Konfiguration</w:t>
      </w:r>
    </w:p>
    <w:p>
      <w:pPr>
        <w:pStyle w:val="Heading3"/>
      </w:pPr>
      <w:r>
        <w:rPr>
          <w:rFonts w:ascii="Times New Roman" w:hAnsi="Times New Roman"/>
        </w:rPr>
        <w:t>2.1 Aktivierung des Legacy-Regelwerks R-7</w:t>
      </w:r>
    </w:p>
    <w:p>
      <w:pPr>
        <w:jc w:val="left"/>
      </w:pPr>
      <w:r>
        <w:t>Ausweislich des Konfigurationsprotokolls wurde am 05.01.2026, 07:42 Uhr, durch die IT-Koordination neben dem Standardregelwerk S-1 das optionale Legacy-Regelwerk R-7 („Dokumentenprüf-Index") aktiviert. R-7 verarbeitet den Ausstellungsstaat von Nachweisurkunden und den im Antrag angegebenen Geburtsort. Die Betriebsanleitung knüpft die Aktivierung von R-7 an drei Bedingungen: aktives monatliches Fairness-Monitoring, gruppenbezogene Auswertung der Wartezeiten und dokumentierte Begründung in der Risikodokumentation.</w:t>
      </w:r>
    </w:p>
    <w:p>
      <w:pPr>
        <w:pStyle w:val="Heading3"/>
      </w:pPr>
      <w:r>
        <w:rPr>
          <w:rFonts w:ascii="Times New Roman" w:hAnsi="Times New Roman"/>
        </w:rPr>
        <w:t>2.2 Nichterfüllung der Aktivierungsbedingungen</w:t>
      </w:r>
    </w:p>
    <w:p>
      <w:pPr>
        <w:jc w:val="left"/>
      </w:pPr>
      <w:r>
        <w:t>Ein monatlicher Abruf des Monitoring-Berichts ist nur für Januar 2026 dokumentiert. Eine gruppenbezogene Auswertung der Wartezeiten ist zu keinem Zeitpunkt erfolgt; die Dienstanweisung hat sie — abweichend von Abschnitt 8 der Betriebsanleitung — auf „anlassbezogen" reduziert. Die Grundrechte-Folgenabschätzung erklärt die Aktivierung von R-7 pauschal für „umfasst", ohne die vom Hersteller geforderte gesonderte Begründung. Es liegt damit eine Verwendung entgegen der Betriebsanleitung nahe.</w:t>
      </w:r>
    </w:p>
    <w:p>
      <w:pPr>
        <w:pStyle w:val="Heading2"/>
      </w:pPr>
      <w:r>
        <w:rPr>
          <w:rFonts w:ascii="Times New Roman" w:hAnsi="Times New Roman"/>
        </w:rPr>
        <w:t>3 Feststellungen zur menschlichen Aufsicht</w:t>
      </w:r>
    </w:p>
    <w:p>
      <w:pPr>
        <w:pStyle w:val="Heading3"/>
      </w:pPr>
      <w:r>
        <w:rPr>
          <w:rFonts w:ascii="Times New Roman" w:hAnsi="Times New Roman"/>
        </w:rPr>
        <w:t>3.1 Einzelfall AST-2026-0016</w:t>
      </w:r>
    </w:p>
    <w:p>
      <w:pPr>
        <w:jc w:val="left"/>
      </w:pPr>
      <w:r>
        <w:t>Der Antrag der Beschwerdeführerin wurde am 09.02.2026 als „prüfintensiv" (Score 88) eingestuft. Eine Sichtung binnen zehn Arbeitstagen ist im Fachverfahren nicht dokumentiert; der erste inhaltliche Bearbeitungsschritt datiert vom 20.04.2026. Eine Rückfrage bei einer ausländischen Stelle oder bei der Antragstellerin erfolgte nicht; die Bewilligung erging am 27.04.2026 auf unveränderter Antragsgrundlage.</w:t>
      </w:r>
    </w:p>
    <w:p>
      <w:pPr>
        <w:pStyle w:val="Heading3"/>
      </w:pPr>
      <w:r>
        <w:rPr>
          <w:rFonts w:ascii="Times New Roman" w:hAnsi="Times New Roman"/>
        </w:rPr>
        <w:t>3.2 Stichprobe und Übersteuerungsquote</w:t>
      </w:r>
    </w:p>
    <w:p>
      <w:pPr>
        <w:jc w:val="left"/>
      </w:pPr>
      <w:r>
        <w:t>In der Stichprobe von 20 als „prüfintensiv" eingestuften Vorgängen fand sich in 17 Fällen keine dokumentierte Sichtung innerhalb der Frist. Das Priorisierungslog weist für den gesamten Prüfzeitraum keine einzige manuelle Rückstufung von „prüfintensiv" auf „Standard" aus. Der Hinweis der Sachbearbeiterin Frau Brandhorst an die IT-Koordination vom 17.03.2026 (E-Mail in der Anlage), sie „klicke die Vorschläge einfach durch", war der Sachgebietsleitung nach eigener Auskunft seit März bekannt, ohne dass Maßnahmen ergriffen wurden. Ob angesichts dessen von einer wirksamen menschlichen Aufsicht durch geschulte Personen gesprochen werden kann, erscheint zweifelhaft; die formale Schulung ist demgegenüber durch die Teilnahmeliste vom 15./16.12.2025 belegt.</w:t>
      </w:r>
    </w:p>
    <w:p>
      <w:pPr>
        <w:pStyle w:val="Heading2"/>
      </w:pPr>
      <w:r>
        <w:rPr>
          <w:rFonts w:ascii="Times New Roman" w:hAnsi="Times New Roman"/>
        </w:rPr>
        <w:t>4 Zwischenergebnis und Empfehlungen</w:t>
      </w:r>
    </w:p>
    <w:p>
      <w:pPr>
        <w:jc w:val="left"/>
      </w:pPr>
      <w:r>
        <w:t>Es besteht der begründete Verdacht, dass die Aktivierung des Regelwerks R-7 zu einer systematischen Verlängerung der Wartezeiten von Antragstellenden mit ausländischem Geburtsort geführt hat und dass die in der Grundrechte-Folgenabschätzung als „gering" bewertete Diskriminierungsgefahr unzutreffend eingeschätzt wurde. Das Rechnungsprüfungsamt empfiehlt: erstens die unverzügliche Deaktivierung des Regelwerks R-7, zweitens die Prüfung einer Meldung als schwerwiegender Vorfall an den Hersteller und die Marktüberwachungsbehörde [Normstand zu verifizieren], drittens die Aktualisierung der Grundrechte-Folgenabschätzung, viertens die statistische Auswertung der beigefügten Rohdaten nach Vergleichsgruppen (mittlere Wartezeit und Anteil „prüfintensiv" je Gruppe) durch die mandatierte Stelle, fünftens die Nachschulung des Sachgebiets unter besonderer Behandlung der Automatisierungsverzerrung.</w:t>
      </w:r>
    </w:p>
    <w:p>
      <w:pPr>
        <w:jc w:val="left"/>
      </w:pPr>
      <w:r>
        <w:t>gez. Wiedenbrügge</w:t>
      </w:r>
    </w:p>
    <w:p>
      <w:pPr>
        <w:jc w:val="left"/>
      </w:pPr>
      <w:r>
        <w:t>Rechnungsprüfungsamt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