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Normstand-Vermerk — Rechtsgrundlagen dieser Akte (KI-Verordnung)</w:t>
      </w:r>
    </w:p>
    <w:p>
      <w:pPr>
        <w:jc w:val="left"/>
      </w:pPr>
      <w:r>
        <w:rPr>
          <w:b/>
        </w:rPr>
        <w:t>Stadt Duisburg</w:t>
      </w:r>
    </w:p>
    <w:p>
      <w:pPr>
        <w:jc w:val="left"/>
      </w:pPr>
      <w:r>
        <w:t>Rechtsamt (Amt 30), Referat Digitalrecht</w:t>
      </w:r>
    </w:p>
    <w:p>
      <w:pPr>
        <w:jc w:val="left"/>
      </w:pPr>
      <w:r>
        <w:t>Burgplatz 19, 47051 Duisburg</w:t>
      </w:r>
    </w:p>
    <w:p>
      <w:pPr>
        <w:jc w:val="left"/>
      </w:pPr>
      <w:r>
        <w:t>Aktenzeichen: 30-2/KI-2026-008 (zu 50-2/AL-2026-014)</w:t>
      </w:r>
    </w:p>
    <w:p>
      <w:pPr>
        <w:jc w:val="left"/>
      </w:pPr>
      <w:r>
        <w:t>Verfasserin: Städtische Rechtsrätin Dr. Annegret Vosskuhlen</w:t>
      </w:r>
    </w:p>
    <w:p>
      <w:pPr>
        <w:jc w:val="left"/>
      </w:pPr>
      <w:r>
        <w:t>Datum: 01.07.2026 | Verteiler: Amt 50, Dezernat für Soziales, Rechnungsprüfungsamt, mandatierte Kanzlei</w:t>
      </w:r>
    </w:p>
    <w:p>
      <w:pPr>
        <w:jc w:val="left"/>
      </w:pPr>
      <w:r>
        <w:rPr>
          <w:i/>
        </w:rPr>
        <w:t>Exporthinweis: Endausgabe in Times New Roman, 11 pt, dezimale Gliederung.</w:t>
      </w:r>
    </w:p>
    <w:p>
      <w:pPr>
        <w:pStyle w:val="Heading2"/>
      </w:pPr>
      <w:r>
        <w:rPr>
          <w:rFonts w:ascii="Times New Roman" w:hAnsi="Times New Roman"/>
        </w:rPr>
        <w:t>1 Zweck dieses Vermerks</w:t>
      </w:r>
    </w:p>
    <w:p>
      <w:pPr>
        <w:jc w:val="left"/>
      </w:pPr>
      <w:r>
        <w:t>Dieser Vermerk legt fest, auf welchem Normstand die in dieser Akte enthaltenen Bewertungen zur Verordnung (EU) 2024/1689 („KI-Verordnung") beruhen, und ordnet an, wie mit der laufenden Änderungsgesetzgebung umzugehen ist. Er ist bei jeder Weiterverwendung der Akte zuerst zu lesen.</w:t>
      </w:r>
    </w:p>
    <w:p>
      <w:pPr>
        <w:pStyle w:val="Heading2"/>
      </w:pPr>
      <w:r>
        <w:rPr>
          <w:rFonts w:ascii="Times New Roman" w:hAnsi="Times New Roman"/>
        </w:rPr>
        <w:t>2 Zugrunde gelegte Fassung</w:t>
      </w:r>
    </w:p>
    <w:p>
      <w:pPr>
        <w:jc w:val="left"/>
      </w:pPr>
      <w:r>
        <w:t>Sämtliche Aktenstücke beruhen auf der Verordnung (EU) 2024/1689 in der im Amtsblatt der Europäischen Union verkündeten Stammfassung, ausgewertet nach dem Kenntnisstand vom 01.07.2026. Für die Bewertung tragend sind allein die Grundstrukturen der Verordnung: die Einstufung bestimmter Systeme für den Zugang zu wesentlichen öffentlichen Leistungen als Hochrisiko-KI-Systeme (Anhang III), die Pflichten der Betreiber (Verwendung nach Betriebsanleitung, menschliche Aufsicht durch geschulte und befugte Personen, Kontrolle der Eingabedaten, Aufbewahrung der Protokolle, Information der Betroffenen), die Grundrechte-Folgenabschätzung öffentlicher Betreiber vor der ersten Verwendung sowie die Melde- und Kooperationspflichten bei schwerwiegenden Vorfällen gegenüber Anbieter und Marktüberwachungsbehörde.</w:t>
      </w:r>
    </w:p>
    <w:p>
      <w:pPr>
        <w:pStyle w:val="Heading2"/>
      </w:pPr>
      <w:r>
        <w:rPr>
          <w:rFonts w:ascii="Times New Roman" w:hAnsi="Times New Roman"/>
        </w:rPr>
        <w:t>3 Vorbehalt der Omnibus-Gesetzgebung</w:t>
      </w:r>
    </w:p>
    <w:p>
      <w:pPr>
        <w:jc w:val="left"/>
      </w:pPr>
      <w:r>
        <w:t xml:space="preserve">Die KI-Verordnung ist Gegenstand laufender Änderungsvorhaben der Europäischen Union (sogenannte Omnibus-Rechtsakte), die insbesondere Anwendungsbeginn, Übergangsfristen und einzelne Pflichtenkataloge betreffen können. Zum Zeitpunkt der Aktenanlage ist nicht abschließend gesichert, welche Betreiberpflichten für Anhang-III-Systeme zu welchem Stichtag verbindlich anwendbar sind und in welcher Artikelnummerierung sie nach etwaigen Änderungen geführt werden. </w:t>
      </w:r>
      <w:r>
        <w:rPr>
          <w:b/>
        </w:rPr>
        <w:t>Alle Artikel-, Absatz- und Fristangaben in dieser Akte sind deshalb vor jeder Verwendung — insbesondere vor Schriftsätzen, Bescheiden und Meldungen — anhand amtlicher Quellen (EUR-Lex, konsolidierte Fassung; Mitteilungen der zuständigen Marktüberwachungsbehörde) zu verifizieren.</w:t>
      </w:r>
      <w:r>
        <w:t xml:space="preserve"> Stellen, an denen die Unsicherheit für die Bewertung erheblich ist, sind im Dokumenttext mit dem Vermerk „[Normstand zu verifizieren]" gekennzeichnet.</w:t>
      </w:r>
    </w:p>
    <w:p>
      <w:pPr>
        <w:pStyle w:val="Heading2"/>
      </w:pPr>
      <w:r>
        <w:rPr>
          <w:rFonts w:ascii="Times New Roman" w:hAnsi="Times New Roman"/>
        </w:rPr>
        <w:t>4 Konservative Arbeitshypothese</w:t>
      </w:r>
    </w:p>
    <w:p>
      <w:pPr>
        <w:jc w:val="left"/>
      </w:pPr>
      <w:r>
        <w:t>Für die interne Compliance gilt bis zur amtlichen Klärung die konservative Arbeitshypothese: Die Stadt behandelt die Betreiberpflichten und die Pflicht zur Grundrechte-Folgenabschätzung als bereits verbindlich und meldet Verdachtsfälle schwerwiegender Vorfälle unverzüglich. Sollte sich ergeben, dass einzelne Pflichten im Vorfallszeitraum noch nicht anwendbar waren, ist dies für die Bewertung der Meldung vom 19.06.2026 und etwaiger Sanktionsrisiken gesondert zu würdigen; die freiwillige Übererfüllung bleibt davon unberührt.</w:t>
      </w:r>
    </w:p>
    <w:p>
      <w:pPr>
        <w:pStyle w:val="Heading2"/>
      </w:pPr>
      <w:r>
        <w:rPr>
          <w:rFonts w:ascii="Times New Roman" w:hAnsi="Times New Roman"/>
        </w:rPr>
        <w:t>5 Nicht verwendete Quellen</w:t>
      </w:r>
    </w:p>
    <w:p>
      <w:pPr>
        <w:jc w:val="left"/>
      </w:pPr>
      <w:r>
        <w:t>Durchführungs- oder delegierte Rechtsakte zur Konkretisierung der hier einschlägigen Pflichten wurden nicht herangezogen; ihr Bestand und Inhalt sind bei der Verifikation nach Ziffer 3 mit zu prüfen. Gerichtsentscheidungen werden in dieser Akte nicht zitiert.</w:t>
      </w:r>
    </w:p>
    <w:p>
      <w:pPr>
        <w:jc w:val="left"/>
      </w:pPr>
      <w:r>
        <w:t>gez. Dr. Vosskuhlen</w:t>
      </w:r>
    </w:p>
    <w:p>
      <w:pPr>
        <w:jc w:val="left"/>
      </w:pPr>
      <w:r>
        <w:t>Städtische Rechtsrätin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