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Nutzungsbedingungen „Nordlys Vision 3" — Auszug (deutsche Arbeitsübersetzung)</w:t>
      </w:r>
    </w:p>
    <w:p>
      <w:pPr>
        <w:jc w:val="left"/>
      </w:pPr>
      <w:r>
        <w:rPr>
          <w:b/>
        </w:rPr>
        <w:t>Nordlys Model Works ApS</w:t>
      </w:r>
    </w:p>
    <w:p>
      <w:pPr>
        <w:jc w:val="left"/>
      </w:pPr>
      <w:r>
        <w:t>Njalsgade 21, 2300 København S, Dänemark</w:t>
      </w:r>
    </w:p>
    <w:p>
      <w:pPr>
        <w:jc w:val="left"/>
      </w:pPr>
      <w:r>
        <w:t>CVR-Nr. 44821973 | E-Mail: legal@nordlys-models.dk</w:t>
      </w:r>
    </w:p>
    <w:p>
      <w:pPr>
        <w:jc w:val="left"/>
      </w:pPr>
      <w:r>
        <w:t>Dokument: „Nordlys Vision 3 — Acceptable Use Policy and API Terms", Version 4.1, Stand Januar 2026. Auszug der Ziffern 3, 6, 7 und 9 in deutscher Arbeitsübersetzung der Kanzlei Stollberg &amp; Wentzien; maßgeblich ist die englische Originalfassung.</w:t>
      </w:r>
    </w:p>
    <w:p>
      <w:pPr>
        <w:jc w:val="left"/>
      </w:pPr>
      <w:r>
        <w:rPr>
          <w:i/>
        </w:rPr>
        <w:t>Exporthinweis: Endausgabe in Times New Roman, 11 pt, dezimale Gliederung.</w:t>
      </w:r>
    </w:p>
    <w:p>
      <w:pPr>
        <w:pStyle w:val="Heading2"/>
      </w:pPr>
      <w:r>
        <w:rPr>
          <w:rFonts w:ascii="Times New Roman" w:hAnsi="Times New Roman"/>
        </w:rPr>
        <w:t>3 Herkunftskennzeichnung (Provenance)</w:t>
      </w:r>
    </w:p>
    <w:p>
      <w:pPr>
        <w:pStyle w:val="Heading3"/>
      </w:pPr>
      <w:r>
        <w:rPr>
          <w:rFonts w:ascii="Times New Roman" w:hAnsi="Times New Roman"/>
        </w:rPr>
        <w:t>3.1 Standard-Kennzeichnung</w:t>
      </w:r>
    </w:p>
    <w:p>
      <w:pPr>
        <w:jc w:val="left"/>
      </w:pPr>
      <w:r>
        <w:t>Alle mit Nordlys Vision 3 erzeugten Bild- und Videoinhalte werden standardmäßig doppelt gekennzeichnet: durch eine kryptografisch signierte C2PA-Provenance-Signatur in den Dateimetadaten und durch ein sichtbares Wasserzeichen („Nordlys AI") in der unteren rechten Bildecke. Diese Kennzeichnung dient der Erfüllung der Transparenzanforderungen der Verordnung (EU) 2024/1689 an die maschinenlesbare Kennzeichnung KI-generierter Inhalte [Normstand zu verifizieren].</w:t>
      </w:r>
    </w:p>
    <w:p>
      <w:pPr>
        <w:pStyle w:val="Heading3"/>
      </w:pPr>
      <w:r>
        <w:rPr>
          <w:rFonts w:ascii="Times New Roman" w:hAnsi="Times New Roman"/>
        </w:rPr>
        <w:t>3.2 Entfernung nur durch lizenzierte Integratoren</w:t>
      </w:r>
    </w:p>
    <w:p>
      <w:pPr>
        <w:jc w:val="left"/>
      </w:pPr>
      <w:r>
        <w:t>API-Kunden mit Integrator-Lizenz (Tier „Studio") dürfen das sichtbare Wasserzeichen und die C2PA-Signatur nur entfernen oder ersetzen, wenn sie (a) eine eigene, mindestens gleichwertige maschinenlesbare Kennzeichnung anbringen und (b) gegenüber Nordlys vertraglich zusichern, dass sie sämtliche nachgelagerten Kennzeichnungs- und Transparenzpflichten, insbesondere für Deepfakes, gegenüber ihren Endkunden durchsetzen. Die Entfernung ohne Ersatzkennzeichnung ist ein wesentlicher Vertragsverstoß und führt zur Sperrung des API-Zugangs.</w:t>
      </w:r>
    </w:p>
    <w:p>
      <w:pPr>
        <w:pStyle w:val="Heading2"/>
      </w:pPr>
      <w:r>
        <w:rPr>
          <w:rFonts w:ascii="Times New Roman" w:hAnsi="Times New Roman"/>
        </w:rPr>
        <w:t>6 Verbotene und beschränkte Verwendungen</w:t>
      </w:r>
    </w:p>
    <w:p>
      <w:pPr>
        <w:pStyle w:val="Heading3"/>
      </w:pPr>
      <w:r>
        <w:rPr>
          <w:rFonts w:ascii="Times New Roman" w:hAnsi="Times New Roman"/>
        </w:rPr>
        <w:t>6.1 Täuschende Darstellungen realer Personen</w:t>
      </w:r>
    </w:p>
    <w:p>
      <w:pPr>
        <w:jc w:val="left"/>
      </w:pPr>
      <w:r>
        <w:t>Die Erzeugung fotorealistischer Darstellungen realer, identifizierbarer Personen ohne deren nachweisbare Einwilligung ist untersagt, soweit die Darstellung geeignet ist, über tatsächliche Äußerungen oder Handlungen dieser Person zu täuschen. Ausgenommen sind erkennbar gekennzeichnete Kunst, Satire und Parodie; die Kennzeichnung muss für einen durchschnittlichen Betrachter im Zeitpunkt der Wahrnehmung offensichtlich sein.</w:t>
      </w:r>
    </w:p>
    <w:p>
      <w:pPr>
        <w:pStyle w:val="Heading3"/>
      </w:pPr>
      <w:r>
        <w:rPr>
          <w:rFonts w:ascii="Times New Roman" w:hAnsi="Times New Roman"/>
        </w:rPr>
        <w:t>6.2 Wahl- und Abstimmungskontexte</w:t>
      </w:r>
    </w:p>
    <w:p>
      <w:pPr>
        <w:jc w:val="left"/>
      </w:pPr>
      <w:r>
        <w:t>Für Inhalte mit Bezug zu Wahlen oder Abstimmungen verlangt Nordlys zusätzlich zur Kennzeichnung nach Ziffer 3 eine sichtbare Offenlegung des künstlichen Ursprungs im veröffentlichten Inhalt selbst. Integratoren haben diese Pflicht an ihre Kunden weiterzugeben.</w:t>
      </w:r>
    </w:p>
    <w:p>
      <w:pPr>
        <w:pStyle w:val="Heading2"/>
      </w:pPr>
      <w:r>
        <w:rPr>
          <w:rFonts w:ascii="Times New Roman" w:hAnsi="Times New Roman"/>
        </w:rPr>
        <w:t>7 Transparenz über Trainingsdaten und Urheberrecht</w:t>
      </w:r>
    </w:p>
    <w:p>
      <w:pPr>
        <w:jc w:val="left"/>
      </w:pPr>
      <w:r>
        <w:t>Nordlys veröffentlicht als Anbieter eines KI-Modells mit allgemeinem Verwendungszweck eine hinreichend detaillierte Zusammenfassung der für das Training verwendeten Inhalte nach dem von der Europäischen Union vorgegebenen Muster sowie eine Urheberrechts-Policy zur Beachtung von Rechtsvorbehalten (Text- und Data-Mining-Opt-outs) [Normstand zu verifizieren]. Die jeweils aktuelle Fassung ist unter nordlys-models.dk/transparency abrufbar. Auskunftsersuchen von Behörden und berechtigten Dritten beantwortet Nordlys über legal@nordlys-models.dk.</w:t>
      </w:r>
    </w:p>
    <w:p>
      <w:pPr>
        <w:pStyle w:val="Heading2"/>
      </w:pPr>
      <w:r>
        <w:rPr>
          <w:rFonts w:ascii="Times New Roman" w:hAnsi="Times New Roman"/>
        </w:rPr>
        <w:t>9 Verantwortungsverteilung</w:t>
      </w:r>
    </w:p>
    <w:p>
      <w:pPr>
        <w:pStyle w:val="Heading3"/>
      </w:pPr>
      <w:r>
        <w:rPr>
          <w:rFonts w:ascii="Times New Roman" w:hAnsi="Times New Roman"/>
        </w:rPr>
        <w:t>9.1 Rollen</w:t>
      </w:r>
    </w:p>
    <w:p>
      <w:pPr>
        <w:jc w:val="left"/>
      </w:pPr>
      <w:r>
        <w:t>Nordlys stellt das Modell als Anbieter eines KI-Modells mit allgemeinem Verwendungszweck bereit. Integratoren, die das Modell in eigene Dienste einbetten, und Endnutzer, die Inhalte erzeugen und verbreiten, tragen die Verantwortung für die rechtskonforme Verwendung, insbesondere für die Kennzeichnung von Deepfakes bei der Veröffentlichung [Normstand zu verifizieren].</w:t>
      </w:r>
    </w:p>
    <w:p>
      <w:pPr>
        <w:pStyle w:val="Heading3"/>
      </w:pPr>
      <w:r>
        <w:rPr>
          <w:rFonts w:ascii="Times New Roman" w:hAnsi="Times New Roman"/>
        </w:rPr>
        <w:t>9.2 Kooperation</w:t>
      </w:r>
    </w:p>
    <w:p>
      <w:pPr>
        <w:jc w:val="left"/>
      </w:pPr>
      <w:r>
        <w:t>Nordlys kooperiert mit den zuständigen Behörden der Union und stellt auf begründetes Ersuchen Generierungsprotokolle bereit, soweit datenschutzrechtlich zulässig.</w:t>
      </w:r>
    </w:p>
    <w:p>
      <w:pPr>
        <w:jc w:val="left"/>
      </w:pPr>
      <w:r>
        <w:t>— Ende des Auszugs —</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