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Vertriebspräsentation „VoiceMood Sentinel — Performance trifft Empathie" (Textfassung)</w:t>
      </w:r>
    </w:p>
    <w:p>
      <w:pPr>
        <w:jc w:val="left"/>
      </w:pPr>
      <w:r>
        <w:rPr>
          <w:b/>
        </w:rPr>
        <w:t>Quelle:</w:t>
      </w:r>
      <w:r>
        <w:t xml:space="preserve"> Anhang der E-Mail des Herrn Jens Brockschnieder (SentiCore Analytics GmbH) an die Telavena Dialog GmbH vom 18.06.2025 (Datei „VMS_Pitch_Telavena_v3.pdf", 14 Folien). Textfassung erstellt durch die Telavena Dialog GmbH zur Vorlage im Verfahren KI-MÜ-2026/0147; Layoutelemente sind beschreibend wiedergegeben.</w:t>
      </w:r>
    </w:p>
    <w:p>
      <w:pPr>
        <w:jc w:val="left"/>
      </w:pPr>
      <w:r>
        <w:rPr>
          <w:i/>
        </w:rPr>
        <w:t>Exporthinweis: Endausgabe in Times New Roman, 11 pt, dezimale Gliederung.</w:t>
      </w:r>
    </w:p>
    <w:p>
      <w:pPr>
        <w:jc w:val="left"/>
      </w:pPr>
      <w:r>
        <w:rPr>
          <w:b/>
        </w:rPr>
        <w:t>Folie 1 — Titel:</w:t>
      </w:r>
      <w:r>
        <w:t xml:space="preserve"> „VoiceMood Sentinel — Performance trifft Empathie. Emotions-Monitoring für Contact Center der nächsten Generation." Untertitel: „Exklusiv aufbereitet für Telavena Dialog GmbH, 18.06.2025, Jens Brockschnieder, Senior Sales Manager DACH."</w:t>
      </w:r>
    </w:p>
    <w:p>
      <w:pPr>
        <w:jc w:val="left"/>
      </w:pPr>
      <w:r>
        <w:rPr>
          <w:b/>
        </w:rPr>
        <w:t>Folie 2 — Ihre Herausforderung:</w:t>
      </w:r>
      <w:r>
        <w:t xml:space="preserve"> „Schwankende Gesprächsqualität kostet Sie Aufträge. Ihre Teamleiter hören nur 1 Prozent der Gespräche. 99 Prozent bleiben eine Blackbox."</w:t>
      </w:r>
    </w:p>
    <w:p>
      <w:pPr>
        <w:jc w:val="left"/>
      </w:pPr>
      <w:r>
        <w:rPr>
          <w:b/>
        </w:rPr>
        <w:t>Folie 3 — Unsere Antwort:</w:t>
      </w:r>
      <w:r>
        <w:t xml:space="preserve"> „VoiceMood Sentinel hört überall mit — in Echtzeit. Jede Emotion, jeder Stresspegel, jedes Gespräch. Volle Transparenz über die Performance jedes einzelnen Agenten."</w:t>
      </w:r>
    </w:p>
    <w:p>
      <w:pPr>
        <w:jc w:val="left"/>
      </w:pPr>
      <w:r>
        <w:rPr>
          <w:b/>
        </w:rPr>
        <w:t>Folie 4 — Live-Alerts:</w:t>
      </w:r>
      <w:r>
        <w:t xml:space="preserve"> „Coaching-Alerts direkt an den Teamleiter: Wer gerade genervt klingt, wer Kunden verliert, wer Unterstützung braucht. Greifen Sie ein, bevor der Kunde auflegt."</w:t>
      </w:r>
    </w:p>
    <w:p>
      <w:pPr>
        <w:jc w:val="left"/>
      </w:pPr>
      <w:r>
        <w:rPr>
          <w:b/>
        </w:rPr>
        <w:t>Folie 5 — Referenzwert:</w:t>
      </w:r>
      <w:r>
        <w:t xml:space="preserve"> „Unsere Bestandskunden berichten: minus 12 Prozent durchschnittliche Bearbeitungszeit (AHT), plus 9 Punkte Kundenzufriedenheit (CSAT) binnen sechs Monaten. </w:t>
      </w:r>
      <w:r>
        <w:rPr>
          <w:b/>
        </w:rPr>
        <w:t>Performance-Steigerung durch Emotions-Monitoring — messbar ab Woche eins.</w:t>
      </w:r>
      <w:r>
        <w:t>"</w:t>
      </w:r>
    </w:p>
    <w:p>
      <w:pPr>
        <w:jc w:val="left"/>
      </w:pPr>
      <w:r>
        <w:rPr>
          <w:b/>
        </w:rPr>
        <w:t>Folie 6 — Emotionsprofile:</w:t>
      </w:r>
      <w:r>
        <w:t xml:space="preserve"> „Monats-Emotionsprofile je Agent: Erkennen Sie Ihre Top-Performer — und die Agents, bei denen sich ein Personalgespräch lohnt. Exportierbar als PDF für die Personalakte."</w:t>
      </w:r>
    </w:p>
    <w:p>
      <w:pPr>
        <w:jc w:val="left"/>
      </w:pPr>
      <w:r>
        <w:rPr>
          <w:b/>
        </w:rPr>
        <w:t>Folie 7 — Objektive Datenbasis:</w:t>
      </w:r>
      <w:r>
        <w:t xml:space="preserve"> „Schluss mit Bauchgefühl in Feedbackgesprächen: Belegen Sie Tonalitäts-Defizite mit harten Zahlen. Ideal als objektive Grundlage für Zielvereinbarungen."</w:t>
      </w:r>
    </w:p>
    <w:p>
      <w:pPr>
        <w:jc w:val="left"/>
      </w:pPr>
      <w:r>
        <w:rPr>
          <w:b/>
        </w:rPr>
        <w:t>Folie 8 — Wellbeing inklusive:</w:t>
      </w:r>
      <w:r>
        <w:t xml:space="preserve"> „Und ganz nebenbei tun Sie etwas für die Gesundheit: Stress-Früherkennung inklusive. Ihr Betriebsrat wird das Wellbeing-Feature lieben."</w:t>
      </w:r>
    </w:p>
    <w:p>
      <w:pPr>
        <w:jc w:val="left"/>
      </w:pPr>
      <w:r>
        <w:rPr>
          <w:b/>
        </w:rPr>
        <w:t>Folie 9 — Architektur:</w:t>
      </w:r>
      <w:r>
        <w:t xml:space="preserve"> Schaubild der Echtzeit-Pipeline (Telefonanlage, Analyse-Engine, Teamleiter-Dashboard); Beschriftung: „Alert-Latenz unter 3 Sekunden."</w:t>
      </w:r>
    </w:p>
    <w:p>
      <w:pPr>
        <w:jc w:val="left"/>
      </w:pPr>
      <w:r>
        <w:rPr>
          <w:b/>
        </w:rPr>
        <w:t>Folie 10 — Konfigurationen:</w:t>
      </w:r>
      <w:r>
        <w:t xml:space="preserve"> „Standard-Setup: Alerts an die Teamleitung (empfohlen für maximale Wirkung). Optional: Self-Coaching-Modus (Alerts nur an den Agenten — geringere Performance-Effekte)."</w:t>
      </w:r>
    </w:p>
    <w:p>
      <w:pPr>
        <w:jc w:val="left"/>
      </w:pPr>
      <w:r>
        <w:rPr>
          <w:b/>
        </w:rPr>
        <w:t>Folie 11 — Rechtssicherheit:</w:t>
      </w:r>
      <w:r>
        <w:t xml:space="preserve"> „Made in Germany. DSGVO-ready. Unsere Rechtsabteilung begleitet Ihre Einführung; Formulierungsbausteine für die Belegschaftskommunikation (Stichwort ‚Wellbeing-Programm') stellen wir bereit."</w:t>
      </w:r>
    </w:p>
    <w:p>
      <w:pPr>
        <w:jc w:val="left"/>
      </w:pPr>
      <w:r>
        <w:rPr>
          <w:b/>
        </w:rPr>
        <w:t>Folie 12 — Pilotangebot:</w:t>
      </w:r>
      <w:r>
        <w:t xml:space="preserve"> „90-Tage-Pilot für bis zu 220 Seats, Sonderkonditionen bei Abschluss bis zum 30.09.2025."</w:t>
      </w:r>
    </w:p>
    <w:p>
      <w:pPr>
        <w:jc w:val="left"/>
      </w:pPr>
      <w:r>
        <w:rPr>
          <w:b/>
        </w:rPr>
        <w:t>Folie 13 — Roadmap:</w:t>
      </w:r>
      <w:r>
        <w:t xml:space="preserve"> „Ab Version 3.0: Emotions-Benchmarking zwischen Teams und Standorten, Frühindikator ‚Kündigungsrisiko' (Beta)."</w:t>
      </w:r>
    </w:p>
    <w:p>
      <w:pPr>
        <w:jc w:val="left"/>
      </w:pPr>
      <w:r>
        <w:rPr>
          <w:b/>
        </w:rPr>
        <w:t>Folie 14 — Kontakt:</w:t>
      </w:r>
      <w:r>
        <w:t xml:space="preserve"> „Jens Brockschnieder, Senior Sales Manager DACH, j.brockschnieder@senticore-analytics.de, Mobil 0172 4483920."</w:t>
      </w:r>
    </w:p>
    <w:p>
      <w:pPr>
        <w:jc w:val="left"/>
      </w:pPr>
      <w:r>
        <w:t>— Ende der Textfassung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