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Auswertevermerk Finanzermittlungen (Grobauswertung)</w:t>
      </w:r>
    </w:p>
    <w:p>
      <w:pPr>
        <w:jc w:val="left"/>
      </w:pPr>
      <w:r>
        <w:rPr>
          <w:b/>
        </w:rPr>
        <w:t>Polizeipräsidium Mittelfranken · Kriminalpolizeiinspektion Nürnberg</w:t>
      </w:r>
    </w:p>
    <w:p>
      <w:pPr>
        <w:jc w:val="left"/>
      </w:pPr>
      <w:r>
        <w:t>Fachkommissariat K 25 — Wirtschaftskriminalität · Jakobsplatz 5 · 90402 Nürnberg</w:t>
      </w:r>
    </w:p>
    <w:p>
      <w:pPr>
        <w:jc w:val="left"/>
      </w:pPr>
      <w:r>
        <w:t>Tgb.-Nr. K25-2026-0387 · StA Nürnberg-Fürth, 507 Js 2214/26 (Bl. 61–64 d. A.)</w:t>
      </w:r>
    </w:p>
    <w:p>
      <w:pPr>
        <w:jc w:val="left"/>
      </w:pPr>
      <w:r>
        <w:t>Nürnberg, den 11. Mai 2026</w:t>
      </w:r>
    </w:p>
    <w:p>
      <w:pPr>
        <w:jc w:val="left"/>
      </w:pPr>
      <w:r>
        <w:rPr>
          <w:b/>
        </w:rPr>
        <w:t>Betreff: Erste Auswertung der Bankunterlagen (Frankenbank Nürnberg eG) und der sichergestellten Buchhaltung — Zwischenstand</w:t>
      </w:r>
    </w:p>
    <w:p>
      <w:pPr>
        <w:jc w:val="left"/>
      </w:pPr>
      <w:r>
        <w:t>1 Datengrundlage</w:t>
      </w:r>
    </w:p>
    <w:p>
      <w:pPr>
        <w:jc w:val="left"/>
      </w:pPr>
      <w:r>
        <w:t>1.1 Ausgewertet wurden die von der Frankenbank Nürnberg eG übermittelten Umsatzdaten des Geschäftskontos IBAN DE89 7609 0500 0004 4122 07 für den Zeitraum 01.02.2023 bis 31.03.2026 sowie die sichergestellten Buchhaltungsordner (Asservate 507-26-A01, A09). Die Einzelumsätze wurden zu einer Monatsübersicht verdichtet; diese ist als Tabelle zum Sonderband Finanzermittlungen genommen (dort Bl. 3–4, Datei „07_kontoauszug_geschaeftskonto_monatsuebersicht_2023-02_2026-03.csv"). Aus den Zeichnungsordnern (Asservat 507-26-A02) wurde eine Anlegerliste erstellt (Sonderband Bl. 5–7, Datei „08_anlegerliste_frankenland_kapitalpartner_stand_2026-04-14.csv").</w:t>
      </w:r>
    </w:p>
    <w:p>
      <w:pPr>
        <w:jc w:val="left"/>
      </w:pPr>
      <w:r>
        <w:t>2 Gesicherte Feststellungen</w:t>
      </w:r>
    </w:p>
    <w:p>
      <w:pPr>
        <w:jc w:val="left"/>
      </w:pPr>
      <w:r>
        <w:t>2.1 Im Auswertungszeitraum zahlten 61 Anleger insgesamt 4.200.000,00 EUR auf das Geschäftskonto ein (2023: 1.240.000,00 EUR; 2024: 1.220.000,00 EUR; 2025: 1.530.000,00 EUR; Januar/Februar 2026: 210.000,00 EUR).</w:t>
      </w:r>
    </w:p>
    <w:p>
      <w:pPr>
        <w:jc w:val="left"/>
      </w:pPr>
      <w:r>
        <w:t>2.2 An Anleger zurückgeflossen sind im selben Zeitraum 455.433,69 EUR als monatliche „Renditezahlungen" (8 Prozent pro Jahr auf das jeweilige Anlagekapital) sowie 250.000,00 EUR als Kapitalrückzahlungen an drei Anleger, die gekündigt hatten (14.06.2024: 80.000,00 EUR; 10.03.2025: 50.000,00 EUR; 20.11.2025: 120.000,00 EUR). Die letzte Renditezahlung erfolgte Ende Januar 2026; ab Februar 2026 wurden sämtliche Auszahlungen eingestellt.</w:t>
      </w:r>
    </w:p>
    <w:p>
      <w:pPr>
        <w:jc w:val="left"/>
      </w:pPr>
      <w:r>
        <w:t>2.3 Als „Projektinvestitionen" (Empfänger: Projektentwicklungs- und Handelsgesellschaften, Verwendungszweck jeweils „Beteiligung/Projektkosten Solarpark") sind Abflüsse von insgesamt 945.000,00 EUR feststellbar. Das entspricht 22,5 Prozent der eingeworbenen Gelder. Erträge aus Projekten („Einspeisevergütung/Pachtertrag") gingen in Höhe von insgesamt 45.616,42 EUR ein, ausschließlich im Jahr 2024.</w:t>
      </w:r>
    </w:p>
    <w:p>
      <w:pPr>
        <w:jc w:val="left"/>
      </w:pPr>
      <w:r>
        <w:t>2.4 Weitere wesentliche Abflüsse: Vertriebsprovisionen 504.000,00 EUR (durchgängig 12 Prozent der jeweiligen Monatseinzahlungen an die Vermittler Meckel, Plaschke und Wiedenbrück), Betriebskosten 911.583,54 EUR, als Privatentnahmen des Beschuldigten gekennzeichnete Abflüsse 805.500,00 EUR (darin: 85.000,00 EUR „Anzahlung Wohnung Kitzbühel" im Juni 2025, 38.500,00 EUR Barabhebung im November 2024, zeitgleich mit dem Pkw-Barkauf, Asservat 507-26-A12). Kontostand per 31.03.2026: 399.099,19 EUR (arrestiert).</w:t>
      </w:r>
    </w:p>
    <w:p>
      <w:pPr>
        <w:jc w:val="left"/>
      </w:pPr>
      <w:r>
        <w:t>3 Offene Punkte — Hinweis für die weitere Bearbeitung</w:t>
      </w:r>
    </w:p>
    <w:p>
      <w:pPr>
        <w:jc w:val="left"/>
      </w:pPr>
      <w:r>
        <w:t xml:space="preserve">3.1 Die Feinauswertung der Mittelverwendung im Zeitverlauf steht noch aus. Insbesondere ist bislang </w:t>
      </w:r>
      <w:r>
        <w:rPr>
          <w:b/>
        </w:rPr>
        <w:t>nicht monatsgenau herausgearbeitet, ab welchem Zeitpunkt keinerlei Projektinvestitionen mehr erfolgten</w:t>
      </w:r>
      <w:r>
        <w:t xml:space="preserve"> und ab wann die Auszahlungen an Anleger rechnerisch ausschließlich aus den Einzahlungen neuer Anleger bedient werden konnten (Kipppunkt). Die hierfür erforderlichen Monatsreihen liegen mit der Übersicht nach Ziffer 1.1 vollständig vor; die Gegenüberstellung von Anlegerauszahlungen und sonstigen Einnahmequellen je Monat ist noch zu erstellen.</w:t>
      </w:r>
    </w:p>
    <w:p>
      <w:pPr>
        <w:jc w:val="left"/>
      </w:pPr>
      <w:r>
        <w:t>3.2 Ebenfalls noch abzugleichen ist die Einlassung des Beschuldigten vom 14.04.2026 („sämtliche Anlegergelder sind in die Projekte geflossen", „wir haben durchgehend investiert") mit den Monatsreihen sowie mit dem E-Mail-Verkehr aus dem Serverabbild (Sonderband EDV Bl. 25–29).</w:t>
      </w:r>
    </w:p>
    <w:p>
      <w:pPr>
        <w:jc w:val="left"/>
      </w:pPr>
      <w:r>
        <w:t>3.3 Die als „Projektinvestitionen" bezeichneten Empfängergesellschaften werden derzeit auf ihre Existenz und auf Rückflüsse an den Beschuldigten überprüft (Registerabfragen laufen).</w:t>
      </w:r>
    </w:p>
    <w:p>
      <w:pPr>
        <w:jc w:val="left"/>
      </w:pPr>
      <w:r>
        <w:t>Salzner, Kriminalhauptkommissar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