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Sicherstellungsprotokoll</w:t>
      </w:r>
    </w:p>
    <w:p>
      <w:pPr>
        <w:jc w:val="left"/>
      </w:pPr>
      <w:r>
        <w:rPr>
          <w:b/>
        </w:rPr>
        <w:t>Polizeipräsidium Bochum · Kriminalkommissariat 12 (Rauschgiftdelikte)</w:t>
      </w:r>
    </w:p>
    <w:p>
      <w:pPr>
        <w:jc w:val="left"/>
      </w:pPr>
      <w:r>
        <w:t>Uhlandstraße 35 · 44791 Bochum · Telefon 0234 909-0</w:t>
      </w:r>
    </w:p>
    <w:p>
      <w:pPr>
        <w:jc w:val="left"/>
      </w:pPr>
      <w:r>
        <w:t>Tgb.-Nr. KK12-2026-0771 · StA Bochum, 36 Js 1247/26 (Bl. 10–11 d. A.)</w:t>
      </w:r>
    </w:p>
    <w:p>
      <w:pPr>
        <w:jc w:val="left"/>
      </w:pPr>
      <w:r>
        <w:t>Bochum, den 12. Mai 2026</w:t>
      </w:r>
    </w:p>
    <w:p>
      <w:pPr>
        <w:jc w:val="left"/>
      </w:pPr>
      <w:r>
        <w:rPr>
          <w:b/>
        </w:rPr>
        <w:t>Betreff: Sicherstellung von Beweismitteln und Einziehungsgegenständen anlässlich der Wohnungsdurchsuchung Maltheserstraße 44, 1. OG links, am 12.05.2026</w:t>
      </w:r>
    </w:p>
    <w:p>
      <w:pPr>
        <w:jc w:val="left"/>
      </w:pPr>
      <w:r>
        <w:t>1 Sicherstellung</w:t>
      </w:r>
    </w:p>
    <w:p>
      <w:pPr>
        <w:jc w:val="left"/>
      </w:pPr>
      <w:r>
        <w:t>1.1 Im Zuge der Durchsuchung (Vermerk Bl. 7–9 d. A.) wurden die in der Asservatenliste vom 13.05.2026 (Bl. 12 d. A., Datei „05_asservatenliste_2026-05-13.csv") im Einzelnen aufgeführten Gegenstände A01 bis A17 sichergestellt: vier Beutel Marihuana (Gesamtgewicht brutto 1.214,6 g, netto nach Umverpackung 1.176,3 g), zwei Tüten Amphetaminpaste (brutto 340,3 g, netto 322,5 g), Bargeld in Höhe von insgesamt 6.815,00 EUR (18 Scheine zu 100 EUR, 27 zu 50 EUR, 96 zu 20 EUR, 143 zu 10 EUR, 63 zu 5 EUR), eine halbautomatische Pistole Kaliber 9 mm Luger nebst Magazin und 14 Patronen, eine digitale Feinwaage, 250 unbenutzte Klemmleistenbeutel, ein Notizbuch mit Zahlenkolonnen und Namenskürzeln sowie ein Mobiltelefon.</w:t>
      </w:r>
    </w:p>
    <w:p>
      <w:pPr>
        <w:jc w:val="left"/>
      </w:pPr>
      <w:r>
        <w:t xml:space="preserve">1.2 Der Beschuldigte erklärte auf Frage, er sei mit der Sicherstellung </w:t>
      </w:r>
      <w:r>
        <w:rPr>
          <w:b/>
        </w:rPr>
        <w:t>nicht</w:t>
      </w:r>
      <w:r>
        <w:t xml:space="preserve"> einverstanden. Die Gegenstände gelten damit als beschlagnahmt; die richterliche Bestätigung nach § 98 Abs. 2 Satz 1 StPO wird über die Staatsanwaltschaft beantragt. Für die Schusswaffe und die Munition erfolgt die Sicherstellung zugleich präventiv nach den waffenrechtlichen Vorschriften.</w:t>
      </w:r>
    </w:p>
    <w:p>
      <w:pPr>
        <w:jc w:val="left"/>
      </w:pPr>
      <w:r>
        <w:t>2 Behandlung der Asservate</w:t>
      </w:r>
    </w:p>
    <w:p>
      <w:pPr>
        <w:jc w:val="left"/>
      </w:pPr>
      <w:r>
        <w:t>2.1 Die Betäubungsmittel wurden gewogen (geeichte Waage der Dienststelle, Wägeprotokoll als Anlage), versiegelt und dem Asservatenraum zugeführt. Proben werden dem Landeskriminalamt NRW zur Wirkstoffbestimmung übersandt. Die Waffe wurde entladen, auf Beschusstauglichkeit gesichert verpackt und der waffentechnischen Untersuchung zugeleitet; eine Abfrage im nationalen Waffenregister ergab keine Eintragung der Waffe und keine waffenrechtliche Erlaubnis des Beschuldigten.</w:t>
      </w:r>
    </w:p>
    <w:p>
      <w:pPr>
        <w:jc w:val="left"/>
      </w:pPr>
      <w:r>
        <w:t>2.2 Das Mobiltelefon (Asservat A14) war durch Displaysperre gesichert. Es wurde für die spätere Auswertung asserviert; der Beschuldigte verweigerte die Nennung des Entsperrcodes. Die Auswertung erfolgte nach technischer Entsperrung am 22.05.2026 durch die IT-Forensik (Auswertebericht mit Chatexport im Ordner „whatsapp").</w:t>
      </w:r>
    </w:p>
    <w:p>
      <w:pPr>
        <w:jc w:val="left"/>
      </w:pPr>
      <w:r>
        <w:t>2.3 Das Bargeld wurde gezählt (Vier-Augen-Prinzip, PKin Norda / KOK Jelinek), in Verwahrung genommen und zur Vorbereitung von Maßnahmen der Einziehung (§§ 73 ff. StGB) der Staatsanwaltschaft angezeigt.</w:t>
      </w:r>
    </w:p>
    <w:p>
      <w:pPr>
        <w:jc w:val="left"/>
      </w:pPr>
      <w:r>
        <w:t>Brechler, Polizeioberkommissar (Einsatzleiter)</w:t>
      </w:r>
    </w:p>
    <w:p>
      <w:pPr>
        <w:jc w:val="left"/>
      </w:pPr>
      <w:r>
        <w:t>Norda, Polizeikommissarin (Asservatenführung)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