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Auswertevermerk — Verkehrs- und Standortdaten</w:t>
      </w:r>
    </w:p>
    <w:p>
      <w:pPr>
        <w:jc w:val="left"/>
      </w:pPr>
      <w:r>
        <w:rPr>
          <w:b/>
        </w:rPr>
        <w:t>Polizeipräsidium Essen · Kriminalkommissariat 13 · EK „Späti"</w:t>
      </w:r>
    </w:p>
    <w:p>
      <w:pPr>
        <w:jc w:val="left"/>
      </w:pPr>
      <w:r>
        <w:t>Büscherstraße 2–6 · 45131 Essen · Telefon 0201 829-0</w:t>
      </w:r>
    </w:p>
    <w:p>
      <w:pPr>
        <w:jc w:val="left"/>
      </w:pPr>
      <w:r>
        <w:t>Tgb.-Nr. KK13-2026-1104 · StA Essen, 70 Js 883/26 (Bl. 52–56 d. A.)</w:t>
      </w:r>
    </w:p>
    <w:p>
      <w:pPr>
        <w:jc w:val="left"/>
      </w:pPr>
      <w:r>
        <w:t>Essen, den 3. Juni 2026</w:t>
      </w:r>
    </w:p>
    <w:p>
      <w:pPr>
        <w:jc w:val="left"/>
      </w:pPr>
      <w:r>
        <w:rPr>
          <w:b/>
        </w:rPr>
        <w:t>Betreff: Auswertung der von der TeleNord Mobilfunk GmbH am 28.05.2026 übermittelten Verkehrsdaten des Anschlusses 0171 5583912 (Beschluss AG Essen vom 20.05.2026, 44 Gs 2107/26)</w:t>
      </w:r>
    </w:p>
    <w:p>
      <w:pPr>
        <w:jc w:val="left"/>
      </w:pPr>
      <w:r>
        <w:t>1 Datengrundlage</w:t>
      </w:r>
    </w:p>
    <w:p>
      <w:pPr>
        <w:jc w:val="left"/>
      </w:pPr>
      <w:r>
        <w:t xml:space="preserve">1.1 Die Anbieterin übermittelte 31 Datensätze für die drei angeordneten Zeiträume (Datei „07_verkehrsdaten_mobilfunk_0171_5583912_2026-05-28.csv", Bl. 51 d. A.). Erfasst sind Sprach-, SMS- und Datenverbindungen mit Zellkennung und Standort der Basisstation. Zu beachten ist: Die Zellkennung belegt den Aufenthalt des </w:t>
      </w:r>
      <w:r>
        <w:rPr>
          <w:b/>
        </w:rPr>
        <w:t>Geräts</w:t>
      </w:r>
      <w:r>
        <w:t xml:space="preserve"> im Versorgungsbereich der jeweiligen Zelle (im städtischen Bereich typischerweise Radius circa 300 bis 800 Meter), nicht die Identität des Nutzers und keinen metergenauen Standort.</w:t>
      </w:r>
    </w:p>
    <w:p>
      <w:pPr>
        <w:jc w:val="left"/>
      </w:pPr>
      <w:r>
        <w:t>2 Feststellungen zu den Tatabenden</w:t>
      </w:r>
    </w:p>
    <w:p>
      <w:pPr>
        <w:jc w:val="left"/>
      </w:pPr>
      <w:r>
        <w:t xml:space="preserve">2.1 </w:t>
      </w:r>
      <w:r>
        <w:rPr>
          <w:b/>
        </w:rPr>
        <w:t>17.04.2026 (Tat 1, 21:12 Uhr, Essen-Altendorf):</w:t>
      </w:r>
      <w:r>
        <w:t xml:space="preserve"> Sämtliche sieben Verbindungen zwischen 18:12 Uhr und 23:31 Uhr sind in den Zellen 26742-D1 und 26743-D2 (beide Duisburg-Hochfeld, Umfeld Wanheimer Straße) eingebucht, darunter eine Datenverbindung um 21:02 Uhr und eine abgehende SMS um 21:26 Uhr. Das Gerät war zur Tatzeit demnach nicht in Essen eingebucht.</w:t>
      </w:r>
    </w:p>
    <w:p>
      <w:pPr>
        <w:jc w:val="left"/>
      </w:pPr>
      <w:r>
        <w:t xml:space="preserve">2.2 </w:t>
      </w:r>
      <w:r>
        <w:rPr>
          <w:b/>
        </w:rPr>
        <w:t>02.05.2026 (Tat 2, 21:38 Uhr, Essen-Frohnhausen):</w:t>
      </w:r>
      <w:r>
        <w:t xml:space="preserve"> Bis 20:58 Uhr Duisburg-Hochfeld. Um 21:14 Uhr Einbuchung in Zelle 29881-M4 (Mülheim an der Ruhr, Aktienstraße, Bereich der A40). Von </w:t>
      </w:r>
      <w:r>
        <w:rPr>
          <w:b/>
        </w:rPr>
        <w:t>21:31 Uhr bis 21:52 Uhr</w:t>
      </w:r>
      <w:r>
        <w:t xml:space="preserve"> vier Datenverbindungen in Zelle 31544-E7 (Essen, Berliner Straße 199, Frohnhausen); der Standort der Basisstation liegt </w:t>
      </w:r>
      <w:r>
        <w:rPr>
          <w:b/>
        </w:rPr>
        <w:t>circa 350 Meter Luftlinie vom Tatort Frohnhauser Straße 271</w:t>
      </w:r>
      <w:r>
        <w:t xml:space="preserve"> entfernt, der Tatort liegt im Hauptversorgungsbereich dieser Zelle. Um 22:07 Uhr wieder Mülheim (29881-M4), ab 22:24 Uhr wieder Duisburg-Hochfeld. Die Bewegung Duisburg–Essen-Frohnhausen–Duisburg umschließt die Tatzeit vollständig; die Zeitfenster (20:58 bis 21:31 Uhr Hinweg, 21:52 bis 22:24 Uhr Rückweg) sind mit einer Pkw-Fahrt über die A40 vereinbar (gesonderter Fahrzeiten-Vermerk folgt).</w:t>
      </w:r>
    </w:p>
    <w:p>
      <w:pPr>
        <w:jc w:val="left"/>
      </w:pPr>
      <w:r>
        <w:t xml:space="preserve">2.3 </w:t>
      </w:r>
      <w:r>
        <w:rPr>
          <w:b/>
        </w:rPr>
        <w:t>15.05.2026 (Tat 3, 22:05 Uhr, Essen-Holsterhausen):</w:t>
      </w:r>
      <w:r>
        <w:t xml:space="preserve"> Sämtliche neun Verbindungen zwischen 18:21 Uhr und 23:41 Uhr sind in Duisburg-Hochfeld eingebucht, darunter Datenverbindungen um 21:58 Uhr, um </w:t>
      </w:r>
      <w:r>
        <w:rPr>
          <w:b/>
        </w:rPr>
        <w:t>22:04 Uhr</w:t>
      </w:r>
      <w:r>
        <w:t xml:space="preserve"> — eine Minute vor Tatbeginn — und um 22:31 Uhr. Die größte Lücke zwischen zwei Duisburger Einbuchungen (21:15 bis 21:58 Uhr, 43 Minuten) liegt vollständig vor der Tatzeit und reicht nach dem gesonderten Fahrzeiten-Vermerk für eine Hin- und Rückfahrt nicht aus; zur Tatzeit selbst war das Gerät in Duisburg eingebucht. </w:t>
      </w:r>
      <w:r>
        <w:rPr>
          <w:b/>
        </w:rPr>
        <w:t>Das Gerät war zur Tatzeit 3 in Duisburg.</w:t>
      </w:r>
    </w:p>
    <w:p>
      <w:pPr>
        <w:jc w:val="left"/>
      </w:pPr>
      <w:r>
        <w:t>3 Bewertung</w:t>
      </w:r>
    </w:p>
    <w:p>
      <w:pPr>
        <w:jc w:val="left"/>
      </w:pPr>
      <w:r>
        <w:t>3.1 Für Tat 2 belasten die Daten den Beschuldigten erheblich, sofern er das Gerät selbst führte. Für die Taten 1 und 3 stützen die Daten die Anwesenheit des Geräts in Duisburg; sie entlasten den Beschuldigten aber nur unter derselben Prämisse der personengebundenen Nutzung. Wer das Gerät am jeweiligen Abend tatsächlich führte, ist durch die Daten nicht belegt. Auffällig bleibt, dass die Tatausführung in allen drei Fällen nach Zeugenangaben und Spurenlage (Schuhprofil Taten 2 und 3) auf denselben Täter hindeutet, die Gerätedaten aber nur für Tat 2 eine Ortsnähe ergeben.</w:t>
      </w:r>
    </w:p>
    <w:p>
      <w:pPr>
        <w:jc w:val="left"/>
      </w:pPr>
      <w:r>
        <w:t>3.2 Es wird angeregt, die Angaben der Schwester des Beschuldigten (angekündigtes Alibi „ganzer Abend in Duisburg") zeitlich präzise zu erheben und mit den Verbindungszeitpunkten — insbesondere der Datenverbindung vom 02.05.2026, 21:47 Uhr — abzugleichen.</w:t>
      </w:r>
    </w:p>
    <w:p>
      <w:pPr>
        <w:jc w:val="left"/>
      </w:pPr>
      <w:r>
        <w:t>Trosdorf, Kriminalhauptkommissarin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