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Vermerk — Fahrzeiten zwischen Duisburg-Hochfeld und den Tatorten</w:t>
      </w:r>
    </w:p>
    <w:p>
      <w:pPr>
        <w:jc w:val="left"/>
      </w:pPr>
      <w:r>
        <w:rPr>
          <w:b/>
        </w:rPr>
        <w:t>Polizeipräsidium Essen · Kriminalkommissariat 13 · EK „Späti"</w:t>
      </w:r>
    </w:p>
    <w:p>
      <w:pPr>
        <w:jc w:val="left"/>
      </w:pPr>
      <w:r>
        <w:t>Büscherstraße 2–6 · 45131 Essen · Telefon 0201 829-0</w:t>
      </w:r>
    </w:p>
    <w:p>
      <w:pPr>
        <w:jc w:val="left"/>
      </w:pPr>
      <w:r>
        <w:t>Tgb.-Nr. KK13-2026-1104 · StA Essen, 70 Js 883/26 (Bl. 79–81 d. A.)</w:t>
      </w:r>
    </w:p>
    <w:p>
      <w:pPr>
        <w:jc w:val="left"/>
      </w:pPr>
      <w:r>
        <w:t>Essen, den 10. Juni 2026</w:t>
      </w:r>
    </w:p>
    <w:p>
      <w:pPr>
        <w:jc w:val="left"/>
      </w:pPr>
      <w:r>
        <w:rPr>
          <w:b/>
        </w:rPr>
        <w:t>Betreff: Plausibilisierung der Bewegungslücken in den Verkehrsdaten (Bl. 51 d. A.) — Fahrzeiten Pkw und ÖPNV</w:t>
      </w:r>
    </w:p>
    <w:p>
      <w:pPr>
        <w:jc w:val="left"/>
      </w:pPr>
      <w:r>
        <w:t>1 Ausgangspunkt</w:t>
      </w:r>
    </w:p>
    <w:p>
      <w:pPr>
        <w:jc w:val="left"/>
      </w:pPr>
      <w:r>
        <w:t>1.1 Referenzadresse Duisburg ist die Wohnung der Zeugin Jasmin Rautenberg, Wanheimer Straße 143, 47053 Duisburg (Versorgungsbereich der Zellen 26742-D1 und 26743-D2). Die Fahrzeiten wurden am 09.06.2026 durch Testfahrt (Pkw) beziehungsweise Fahrplanauskunft (ÖPNV) für einen Samstagabend ermittelt.</w:t>
      </w:r>
    </w:p>
    <w:p>
      <w:pPr>
        <w:jc w:val="left"/>
      </w:pPr>
      <w:r>
        <w:t>2 Pkw-Fahrzeiten</w:t>
      </w:r>
    </w:p>
    <w:p>
      <w:pPr>
        <w:jc w:val="left"/>
      </w:pPr>
      <w:r>
        <w:t xml:space="preserve">2.1 Wanheimer Straße 143 nach Frohnhauser Straße 271, 45144 Essen (Tatort 2): über A59/A40, Anschlussstelle Essen-Frohnhausen, Strecke circa 17 km, Fahrzeit bei abendlichem Verkehr </w:t>
      </w:r>
      <w:r>
        <w:rPr>
          <w:b/>
        </w:rPr>
        <w:t>24 bis 30 Minuten</w:t>
      </w:r>
      <w:r>
        <w:t>. Die Lücke in den Verkehrsdaten vom 02.05.2026 (letzte Duisburger Einbuchung 20:58 Uhr, erste Essener Einbuchung 21:31 Uhr, dazwischen 21:14 Uhr Mülheim/A40-Bereich: 33 Minuten) sowie die Rücklücke (21:52 Uhr Essen bis 22:24 Uhr Duisburg: 32 Minuten) sind mit einer Pkw-Fahrt ohne Weiteres vereinbar; die Zwischeneinbuchung Mülheim liegt auf der Fahrtroute der A40.</w:t>
      </w:r>
    </w:p>
    <w:p>
      <w:pPr>
        <w:jc w:val="left"/>
      </w:pPr>
      <w:r>
        <w:t xml:space="preserve">2.2 Wanheimer Straße 143 nach Gemarkenstraße 132, 45147 Essen (Tatort 3): Strecke circa 16 km, Fahrzeit </w:t>
      </w:r>
      <w:r>
        <w:rPr>
          <w:b/>
        </w:rPr>
        <w:t>22 bis 28 Minuten</w:t>
      </w:r>
      <w:r>
        <w:t xml:space="preserve"> je Richtung. Für den 15.05.2026 lässt die Datenlage (Einbuchungen in Duisburg um 21:58 Uhr und 22:04 Uhr, Tatzeit 22:05 bis 22:09 Uhr) eine Anwesenheit des Geräts am Tatort nicht zu: Selbst bei der schnellsten gemessenen Fahrt wäre das Gerät zur Tatzeit nicht in einer Duisburger Zelle eingebucht gewesen.</w:t>
      </w:r>
    </w:p>
    <w:p>
      <w:pPr>
        <w:jc w:val="left"/>
      </w:pPr>
      <w:r>
        <w:t>3 ÖPNV-Fahrzeiten</w:t>
      </w:r>
    </w:p>
    <w:p>
      <w:pPr>
        <w:jc w:val="left"/>
      </w:pPr>
      <w:r>
        <w:t xml:space="preserve">3.1 Für die Verbindung Duisburg-Hochfeld–Essen-Frohnhausen (Straßenbahn 903 bis Duisburg Hbf, RE/S-Bahn bis Essen-Frohnhausen, Fußweg) weist die Fahrplanauskunft für Samstagabend </w:t>
      </w:r>
      <w:r>
        <w:rPr>
          <w:b/>
        </w:rPr>
        <w:t>48 bis 57 Minuten</w:t>
      </w:r>
      <w:r>
        <w:t xml:space="preserve"> je Richtung aus. Die Bewegungslücken vom 02.05.2026 (33 beziehungsweise 32 Minuten) sind mit ÖPNV-Nutzung </w:t>
      </w:r>
      <w:r>
        <w:rPr>
          <w:b/>
        </w:rPr>
        <w:t>nicht</w:t>
      </w:r>
      <w:r>
        <w:t xml:space="preserve"> vereinbar. Sollte der Beschuldigte die Fahrt durchgeführt haben, spricht die Zeitspanne für die Nutzung eines Pkw. Auf den auf die Zeugin Rautenberg zugelassenen VW Polo (Zweitschlüssel frei zugänglich am Schlüsselbrett, Bl. 75 d. A.) wird hingewiesen; eine Halterabfrage ergab keine dem Beschuldigten zuzuordnenden Fahrzeuge. Der Beschuldigte ist nicht im Besitz einer Fahrerlaubnis.</w:t>
      </w:r>
    </w:p>
    <w:p>
      <w:pPr>
        <w:jc w:val="left"/>
      </w:pPr>
      <w:r>
        <w:t>4 Hinweis</w:t>
      </w:r>
    </w:p>
    <w:p>
      <w:pPr>
        <w:jc w:val="left"/>
      </w:pPr>
      <w:r>
        <w:t>4.1 Die Bewertung, wer das Gerät am 02.05.2026 führte und ob am 15.05.2026 ein anderer Täter handelte oder das Gerät zurückgelassen wurde, bleibt der Gesamtwürdigung vorbehalten. Auf die Diskrepanz zwischen der Aussage der Zeugin Rautenberg („durchgehend, ohne jede Unterbrechung", Bl. 73 d. A.) und der Datenverbindung des Beschuldigtengeräts in Essen-Frohnhausen um 21:47 Uhr nebst zugehöriger Chatnachricht (Ordner „whatsapp", Nachricht vom 02.05.2026, 21:47 Uhr) wird hingewiesen.</w:t>
      </w:r>
    </w:p>
    <w:p>
      <w:pPr>
        <w:jc w:val="left"/>
      </w:pPr>
      <w:r>
        <w:t>Trosdorf, Kriminalhauptkommissarin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