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Durchsuchungs- und Sicherstellungsprotokoll vom 19. März 2026</w:t>
      </w:r>
    </w:p>
    <w:p>
      <w:pPr>
        <w:jc w:val="left"/>
      </w:pPr>
      <w:r>
        <w:rPr>
          <w:b/>
        </w:rPr>
        <w:t>Polizeidirektion Leipzig</w:t>
      </w:r>
    </w:p>
    <w:p>
      <w:pPr>
        <w:jc w:val="left"/>
      </w:pPr>
      <w:r>
        <w:t>Kriminalpolizeiinspektion, Dezernat 35 — Korruptionsdelikte</w:t>
      </w:r>
    </w:p>
    <w:p>
      <w:pPr>
        <w:jc w:val="left"/>
      </w:pPr>
      <w:r>
        <w:t>Dimitroffstraße 1, 04107 Leipzig | Telefon: 0341 966-0</w:t>
      </w:r>
    </w:p>
    <w:p>
      <w:pPr>
        <w:jc w:val="left"/>
      </w:pPr>
      <w:r>
        <w:rPr>
          <w:b/>
        </w:rPr>
        <w:t>Tgb.-Nr.:</w:t>
      </w:r>
      <w:r>
        <w:t xml:space="preserve"> 3435-011217-26/2 | </w:t>
      </w:r>
      <w:r>
        <w:rPr>
          <w:b/>
        </w:rPr>
        <w:t>Js-Az.:</w:t>
      </w:r>
      <w:r>
        <w:t xml:space="preserve"> 630 Js 11217/26 StA Leipzig | </w:t>
      </w:r>
      <w:r>
        <w:rPr>
          <w:b/>
        </w:rPr>
        <w:t>Beschluss:</w:t>
      </w:r>
      <w:r>
        <w:t xml:space="preserve"> AG Leipzig, 97 Gs 411/26, vom 12.03.2026</w:t>
      </w:r>
    </w:p>
    <w:p>
      <w:pPr>
        <w:jc w:val="left"/>
      </w:pPr>
      <w:r>
        <w:t>Leipzig, den 19. März 2026</w:t>
      </w:r>
    </w:p>
    <w:p>
      <w:pPr>
        <w:jc w:val="left"/>
      </w:pPr>
      <w:r>
        <w:t>Bl. 71–76 d. A.</w:t>
      </w:r>
    </w:p>
    <w:p>
      <w:pPr>
        <w:pStyle w:val="Heading2"/>
      </w:pPr>
      <w:r>
        <w:rPr>
          <w:rFonts w:ascii="Times New Roman" w:hAnsi="Times New Roman"/>
        </w:rPr>
        <w:t>1 Vollzug</w:t>
      </w:r>
    </w:p>
    <w:p>
      <w:pPr>
        <w:jc w:val="left"/>
      </w:pPr>
      <w:r>
        <w:t>Der Beschluss wurde am 19. März 2026 ab 7:10 Uhr zeitgleich vollzogen: in der Wohnung Meusdorfer Straße 27 (Einsatzleitung KOK'in Brandes; anwesend der Beschuldigte und seine Ehefrau Manja Kabusch) und ab 8:00 Uhr im Dienstzimmer 214 der Fahrerlaubnisbehörde, Prager Straße 128 (Einsatzleitung KHK Reinelt; hinzugezogen die Amtsleiterin Frau Reudnitz und ein Vertreter des Personalrats). Beschlussabschriften wurden ausgehändigt, die Belehrungen erteilt. Der Beschuldigte machte keine Angaben zur Sache. Ende der Maßnahmen: 10:05 Uhr (Wohnung), 11:20 Uhr (Dienstzimmer).</w:t>
      </w:r>
    </w:p>
    <w:p>
      <w:pPr>
        <w:pStyle w:val="Heading2"/>
      </w:pPr>
      <w:r>
        <w:rPr>
          <w:rFonts w:ascii="Times New Roman" w:hAnsi="Times New Roman"/>
        </w:rPr>
        <w:t>2 Sicherstellungen (Auszug aus dem Verzeichnis)</w:t>
      </w:r>
    </w:p>
    <w:p>
      <w:pPr>
        <w:jc w:val="left"/>
      </w:pPr>
      <w:r>
        <w:rPr>
          <w:b/>
        </w:rPr>
        <w:t>Wohnung:</w:t>
      </w:r>
      <w:r>
        <w:t xml:space="preserve"> Asservat 1.1: Bargeld 2.000,00 EUR (40 Scheine zu 50,00 EUR) in einem Briefumschlag im Schreibtisch des Arbeitszimmers, Umschlag beschriftet mit "R". Asservat 1.2: privates Mobiltelefon Samsung Galaxy A54 des Beschuldigten (PIN durch Beschuldigten freiwillig mitgeteilt). Asservat 1.3: Kontoauszugsordner Sparkasse Leipzig 2024–2026. Asservat 1.4: Taschenkalender 2025, in dem an sieben Tagen (15.10., 29.10., 12.11., 26.11., 10.12., 17.12.2025 sowie — im Kalender 2026, Asservat 1.5 — 07.01.2026) jeweils ein handschriftliches "P." mit Häkchen vermerkt ist.</w:t>
      </w:r>
    </w:p>
    <w:p>
      <w:pPr>
        <w:jc w:val="left"/>
      </w:pPr>
      <w:r>
        <w:rPr>
          <w:b/>
        </w:rPr>
        <w:t>Dienstzimmer 214:</w:t>
      </w:r>
      <w:r>
        <w:t xml:space="preserve"> Asservat 2.1: sieben Antragsvorgänge Umschreibung ausländischer Fahrerlaubnisse (Karimzadeh, Bilenko, Kaplan, Muraschko, Ilic, Haddad, Pavlenko), teilweise mit unvollständigen Nachweisblättern, in zwei Vorgängen (Kaplan, Ilic) fehlt der nach dem Prüfschema erforderliche Nachweis der theoretischen Prüfung vollständig. Asservat 2.2: Haftnotiz in der Schreibtischschublade mit der Aufschrift "M.K. 500 / O.B. 500 / E.K. 500 / V.M. 500 / D.I. 500 / S.H. 500 / B.P. 500". Asservat 2.3: dienstlicher Terminkalender-Ausdruck Oktober 2025 bis Januar 2026.</w:t>
      </w:r>
    </w:p>
    <w:p>
      <w:pPr>
        <w:pStyle w:val="Heading2"/>
      </w:pPr>
      <w:r>
        <w:rPr>
          <w:rFonts w:ascii="Times New Roman" w:hAnsi="Times New Roman"/>
        </w:rPr>
        <w:t>3 Erste Bewertung</w:t>
      </w:r>
    </w:p>
    <w:p>
      <w:pPr>
        <w:jc w:val="left"/>
      </w:pPr>
      <w:r>
        <w:t>Die Initialen auf der Haftnotiz (Asservat 2.2) entsprechen den sieben aus der TKÜ bekannten Antragstellern; die Beträge entsprechen den sieben Bareinzahlungen zu je 500,00 EUR (zusammen 3.500,00 EUR). Die Kalendervermerke "P." decken sich mit den Vorspracheterminen. Die Auswertung des Mobiltelefons (Asservat 1.2) wird gesondert berichtet; bei der Erstsichtung fiel ein Chatverlauf mit der Ehefrau auf, der Bareinzahlungen thematisiert.</w:t>
      </w:r>
    </w:p>
    <w:p>
      <w:pPr>
        <w:pStyle w:val="Heading2"/>
      </w:pPr>
      <w:r>
        <w:rPr>
          <w:rFonts w:ascii="Times New Roman" w:hAnsi="Times New Roman"/>
        </w:rPr>
        <w:t>4 Zeugen und Ausfertigungen</w:t>
      </w:r>
    </w:p>
    <w:p>
      <w:pPr>
        <w:jc w:val="left"/>
      </w:pPr>
      <w:r>
        <w:t xml:space="preserve">Dem Beschuldigten und der Stadt Leipzig wurden Durchsuchungsbescheinigungen und Sicherstellungsverzeichnisse ausgehändigt (§ 107 StPO). Der Beschuldigte erklärte auf Belehrung, mit der formlosen Sicherstellung der Asservate 1.1 bis 1.5 </w:t>
      </w:r>
      <w:r>
        <w:rPr>
          <w:b/>
        </w:rPr>
        <w:t>nicht</w:t>
      </w:r>
      <w:r>
        <w:t xml:space="preserve"> einverstanden zu sein; die Bestätigung der Beschlagnahme wird bei dem Ermittlungsrichter beantragt (§ 98 Abs. 2 StPO).</w:t>
      </w:r>
    </w:p>
    <w:p>
      <w:pPr>
        <w:jc w:val="left"/>
      </w:pPr>
      <w:r>
        <w:t>KHK Reinelt</w:t>
      </w:r>
    </w:p>
    <w:p>
      <w:pPr>
        <w:jc w:val="left"/>
      </w:pPr>
      <w:r>
        <w:t>Kriminalhauptkommissar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