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Auswertevermerk zum Mobiltelefon des Beschuldigten — Chat mit der Ehefrau (29. April 2026)</w:t>
      </w:r>
    </w:p>
    <w:p>
      <w:pPr>
        <w:jc w:val="left"/>
      </w:pPr>
      <w:r>
        <w:rPr>
          <w:b/>
        </w:rPr>
        <w:t>Polizeidirektion Leipzig</w:t>
      </w:r>
    </w:p>
    <w:p>
      <w:pPr>
        <w:jc w:val="left"/>
      </w:pPr>
      <w:r>
        <w:t>Kriminalpolizeiinspektion, Dezernat 35 — Korruptionsdelikte</w:t>
      </w:r>
    </w:p>
    <w:p>
      <w:pPr>
        <w:jc w:val="left"/>
      </w:pPr>
      <w:r>
        <w:t>Dimitroffstraße 1, 04107 Leipzig | Telefon: 0341 966-0</w:t>
      </w:r>
    </w:p>
    <w:p>
      <w:pPr>
        <w:jc w:val="left"/>
      </w:pPr>
      <w:r>
        <w:rPr>
          <w:b/>
        </w:rPr>
        <w:t>Tgb.-Nr.:</w:t>
      </w:r>
      <w:r>
        <w:t xml:space="preserve"> 3435-011217-26/2 | </w:t>
      </w:r>
      <w:r>
        <w:rPr>
          <w:b/>
        </w:rPr>
        <w:t>Js-Az.:</w:t>
      </w:r>
      <w:r>
        <w:t xml:space="preserve"> 630 Js 11217/26 StA Leipzig</w:t>
      </w:r>
    </w:p>
    <w:p>
      <w:pPr>
        <w:jc w:val="left"/>
      </w:pPr>
      <w:r>
        <w:t>Leipzig, den 29. April 2026</w:t>
      </w:r>
    </w:p>
    <w:p>
      <w:pPr>
        <w:jc w:val="left"/>
      </w:pPr>
      <w:r>
        <w:t>Bl. 118–120 d. A.</w:t>
      </w:r>
    </w:p>
    <w:p>
      <w:pPr>
        <w:pStyle w:val="Heading2"/>
      </w:pPr>
      <w:r>
        <w:rPr>
          <w:rFonts w:ascii="Times New Roman" w:hAnsi="Times New Roman"/>
        </w:rPr>
        <w:t>Vermerk</w:t>
      </w:r>
    </w:p>
    <w:p>
      <w:pPr>
        <w:jc w:val="left"/>
      </w:pPr>
      <w:r>
        <w:t>1 Das Asservat 1.2 (privates Mobiltelefon Samsung Galaxy A54 des Beschuldigten) wurde vollständig extrahiert. Verfahrensrelevant ist insbesondere der WhatsApp-Chat mit dem Kontakt "Manja ❤" (Ehefrau Manja Kabusch). Der vollständige relevante Auszug (Oktober 2025 bis Januar 2026) ist der Akte als Anlage beigefügt (Chat-Export); auf ihn wird verwiesen.</w:t>
      </w:r>
    </w:p>
    <w:p>
      <w:pPr>
        <w:jc w:val="left"/>
      </w:pPr>
      <w:r>
        <w:t>2 Hervorzuheben sind folgende Feststellungen: Die Ehefrau kommentiert am 12. Dezember 2025 eine Bareinzahlung mit den Worten "schon wieder 500 vom Kumpel?" und bringt die Zahlungen damit gerade nicht mit Flohmarktverkäufen in Verbindung. Der Beschuldigte antwortet ausweichend ("frag nicht dauernd") und kündigt an, "nach Bogdan" sei "Schluss" — der Vorname entspricht dem siebten Antragsteller Bogdan Pavlenko, dessen Vorsprache am 7. Januar 2026 stattfand. Zu den vom Beschuldigten behaupteten Flohmarktverkäufen enthält der Chat für den Tatzeitraum lediglich zwei Einträge (26. Oktober 2025 und 18. Januar 2026), die sich mit den beiden kleineren Einzahlungen über 140,00 EUR und 95,00 EUR decken; ein Flohmarktbezug der sieben 500-EUR-Einzahlungen ergibt sich aus dem Chat an keiner Stelle, im Gegenteil äußert die Ehefrau am 18. Januar 2026, der letzte gemeinsame Flohmarkt sei "im Oktober" gewesen.</w:t>
      </w:r>
    </w:p>
    <w:p>
      <w:pPr>
        <w:jc w:val="left"/>
      </w:pPr>
      <w:r>
        <w:t>3 Bewertung: Der Chat widerlegt die Einlassung des Beschuldigten vom 8. April 2026 in ihrem Kernpunkt. Die beiden tatsächlich belegten Flohmarkt-Einzahlungen (140,00 EUR und 95,00 EUR, jeweils sonntags) unterscheiden sich nach Betrag, Wochentag und Chat-Kontext deutlich von den sieben werktäglichen 500-EUR-Einzahlungen, die dem Telefonat-Termin-Einzahlungs-Muster folgen.</w:t>
      </w:r>
    </w:p>
    <w:p>
      <w:pPr>
        <w:jc w:val="left"/>
      </w:pPr>
      <w:r>
        <w:t>4 Die Ehefrau ist als Zeugin zu laden; auf das Zeugnisverweigerungsrecht nach § 52 StPO wird sie hinzuweisen sein. Ob und inwieweit der beim Beschuldigten sichergestellte Chat-Export unabhängig von einer etwaigen Zeugnisverweigerung der Ehefrau verwertbar bleibt, wird die Verteidigung voraussichtlich thematisieren; die Frage bleibt der gerichtlichen Klärung vorbehalten.</w:t>
      </w:r>
    </w:p>
    <w:p>
      <w:pPr>
        <w:jc w:val="left"/>
      </w:pPr>
      <w:r>
        <w:t>KOK'in Brandes</w:t>
      </w:r>
    </w:p>
    <w:p>
      <w:pPr>
        <w:jc w:val="left"/>
      </w:pPr>
      <w:r>
        <w:t>Kriminaloberkommissarin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