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P029</w:t>
        <w:br/>
        <w:t>Hannah Schröder, Dunckerstraße 40, 10439 Berlin</w:t>
        <w:br/>
        <w:t>Vertragsdatum 17.06.2021</w:t>
      </w:r>
    </w:p>
    <w:p>
      <w:pPr>
        <w:widowControl/>
      </w:pPr>
      <w:r>
        <w:t>Zwischen der Innovation Systems GmbH, vertreten durch die Geschäftsführerin Charlotte Reuter, und Hannah Schröder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01.07.2021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Produktmanager im Bereich Produkt. Sie pflegen die Produktplanung für FlightDesk, führen das Änderungsbudget und stimmen Abnahmen mit dem Vertrieb ab. Für jede größere Änderung dokumentieren Sie Anlass, betroffene Version und Abhängigkeiten. Entscheidungen über Personalbestand und Entlassungen bleiben der Geschäftsführung vorbehalten.</w:t>
      </w:r>
    </w:p>
    <w:p>
      <w:pPr>
        <w:widowControl/>
      </w:pPr>
      <w:r>
        <w:t>Ein jährlicher Zielbonus bis zu 6000 EUR brutto wird nach einer bis zum 31.03. abzuschließenden Zielvereinbarung berechnet. Bei fehlender Zielvereinbarung wird kein Ziel stillschweigend als verfehlt behandelt. Für das erste Kalenderjahr erfolgt die Berechnung zeitanteilig nach Beschäftigungsmonaten.</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40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Sämtliche erforderlichen Überstunden sind mit dem vereinbarten Monatsgehalt abgegolten; eine zahlenmäßige Begrenzung wird nicht festgelegt.</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6.200,00 EUR brutto. Es wird nach den gesetzlichen Abzügen bargeldlos auf das vom Arbeitnehmer benannte Konto gezahlt. Die monatliche Vergütung wird am letzten Werktag des laufenden Monats ausgezahlt. Samstage zählen für diese Vereinbarung als Werktage, Sonn- und gesetzliche Feiertage in Berlin nicht. Ist am vereinbarten Tag kein Bankverkehr möglich, muss die Gutschrift am unmittelbar vorhergehenden Bankarbeitstag vorliegen.</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Für zwölf Monate nach Beendigung ist eine Tätigkeit in Entwicklung oder Vertrieb ziviler Inspektionsdrohnen bei einem unmittelbaren Wettbewerber in Deutschland untersagt. Die Gesellschaft zahlt für jedes Jahr des Verbots die Hälfte der zuletzt bezogenen vertragsmäßigen Leistungen, monatlich nachschüssig. Anderweitiger Verdienst wird nach den gesetzlichen Voraussetzungen berücksichtigt. Die Regeln der Paragrafen 74 bis 75f HGB bleiben maßgeblich.</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3 Monate zum Quartalsende.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17.06.2021</w:t>
      </w:r>
    </w:p>
    <w:p>
      <w:pPr>
        <w:widowControl/>
      </w:pPr>
      <w:r>
        <w:t>Für die Innovation Systems GmbH: Charlotte Reuter</w:t>
      </w:r>
    </w:p>
    <w:p>
      <w:pPr>
        <w:widowControl/>
      </w:pPr>
      <w:r>
        <w:t>Hannah Schröder</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P029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