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Employment agreement</w:t>
      </w:r>
    </w:p>
    <w:p>
      <w:pPr>
        <w:widowControl/>
      </w:pPr>
      <w:r>
        <w:t>Personnel number P048</w:t>
        <w:br/>
        <w:t>Sofia Moretti, Elsenstraße 59, 12435 Berlin</w:t>
        <w:br/>
        <w:t>Agreement dated 17.04.2025</w:t>
      </w:r>
    </w:p>
    <w:p>
      <w:pPr>
        <w:widowControl/>
      </w:pPr>
      <w:r>
        <w:t>Innovation Systems GmbH, represented by managing director Charlotte Reuter, and Sofia Moretti agree the following terms for work in the Berlin operation. The company develops software and equipment for civil infrastructure inspection. This agreement governs personal employment; it does not appoint the employee as a corporate officer.</w:t>
      </w:r>
    </w:p>
    <w:p>
      <w:pPr>
        <w:pStyle w:val="Heading1"/>
      </w:pPr>
      <w:r>
        <w:t>1 Start and term</w:t>
      </w:r>
    </w:p>
    <w:p>
      <w:pPr>
        <w:widowControl/>
      </w:pPr>
      <w:r>
        <w:t>Employment starts on 01.05.2025. The agreement is for an indefinite term. The first six months are a probationary period. During probation, either party may give two weeks' notice. A later change of duties does not restart probation.</w:t>
      </w:r>
    </w:p>
    <w:p>
      <w:pPr>
        <w:widowControl/>
      </w:pPr>
      <w:r>
        <w:t>The employee supplies the information necessary for payroll before starting work and promptly notifies changes to contact and bank details. The company provides a counterpart of the agreement. No appointment as a managing director or independent commercial agent is made by this document.</w:t>
      </w:r>
    </w:p>
    <w:p>
      <w:pPr>
        <w:pStyle w:val="Heading1"/>
      </w:pPr>
      <w:r>
        <w:t>2 Duties and place of work</w:t>
      </w:r>
    </w:p>
    <w:p>
      <w:pPr>
        <w:widowControl/>
      </w:pPr>
      <w:r>
        <w:t>The position is Machine Learning Engineer. You maintain the model evaluation pipeline for surface-defect detection. You separate training, validation and customer acceptance data, document the origin of each dataset and retain unsuccessful runs. You may not describe a model as certified merely because it passes an internal benchmark.</w:t>
      </w:r>
    </w:p>
    <w:p>
      <w:pPr>
        <w:widowControl/>
      </w:pPr>
      <w:r>
        <w:t>The company provides a workstation and access to the approved compute environment. External datasets require a recorded licence review before use. Publication of benchmark results requires technical approval, without restricting disclosures that are protected by mandatory law.</w:t>
      </w:r>
    </w:p>
    <w:p>
      <w:pPr>
        <w:widowControl/>
      </w:pPr>
      <w:r>
        <w:t>The normal place of work is Berlin. The company may assign equivalent and reasonable duties, taking account of personal circumstances, without reducing the agreed salary. A permanent relocation outside Berlin requires a separate agreement. Technical responsibility does not include authority to hire or dismiss employees.</w:t>
      </w:r>
    </w:p>
    <w:p>
      <w:pPr>
        <w:pStyle w:val="Heading1"/>
      </w:pPr>
      <w:r>
        <w:t>3 Working time</w:t>
      </w:r>
    </w:p>
    <w:p>
      <w:pPr>
        <w:widowControl/>
      </w:pPr>
      <w:r>
        <w:t>Normal working time is 38 hours per week, excluding breaks, usually spread over Monday to Friday. Start, end and breaks are recorded in the company's time system. Required meetings, training and documentation are working time.</w:t>
      </w:r>
    </w:p>
    <w:p>
      <w:pPr>
        <w:widowControl/>
      </w:pPr>
      <w:r>
        <w:t>The employee takes at least thirty minutes of breaks after more than six hours and forty-five minutes after more than nine hours of work. A daily rest period of eleven uninterrupted hours is normally observed. Flexible scheduling does not waive statutory limits or recording requirements. Changes to the regular schedule are discussed in advance.</w:t>
      </w:r>
    </w:p>
    <w:p>
      <w:pPr>
        <w:pStyle w:val="Heading1"/>
      </w:pPr>
      <w:r>
        <w:t>4 Overtime and availability</w:t>
      </w:r>
    </w:p>
    <w:p>
      <w:pPr>
        <w:widowControl/>
      </w:pPr>
      <w:r>
        <w:t>Overtime requires an instruction or subsequent confirmation and must stay within statutory working-time limits. It is compensated by equivalent paid time off within three months or, if this is not possible for operational reasons, paid at the corresponding basic hourly rate. Monthly hours are calculated using weekly hours multiplied by 52 and divided by twelve.</w:t>
      </w:r>
    </w:p>
    <w:p>
      <w:pPr>
        <w:widowControl/>
      </w:pPr>
      <w:r>
        <w:t>There is no general duty to monitor business messages outside working time. On-call arrangements require separate agreement on periods, compensation and escalation contacts. Actual emergency work is recorded. The employee does not guarantee continuous availability merely by holding a technical role.</w:t>
      </w:r>
    </w:p>
    <w:p>
      <w:pPr>
        <w:pStyle w:val="Heading1"/>
      </w:pPr>
      <w:r>
        <w:t>5 Salary and expenses</w:t>
      </w:r>
    </w:p>
    <w:p>
      <w:pPr>
        <w:widowControl/>
      </w:pPr>
      <w:r>
        <w:t>The monthly basic salary is EUR 5700.00 gross. Statutory deductions are shown separately on the payslip. Salary must be credited on the last banking day of the current month. Banking days are Monday through Friday, excluding public holidays in Berlin and days on which the bank does not execute ordinary payments.</w:t>
      </w:r>
    </w:p>
    <w:p>
      <w:pPr>
        <w:widowControl/>
      </w:pPr>
      <w:r>
        <w:t>A partial month is calculated by calendar days in that month. Approved business expenses are reimbursed against receipts and are not included in basic salary. The company does not require a private account to receive customer funds. Any bonus or commission requires a specific written arrangement that identifies its calculation and payment terms.</w:t>
      </w:r>
    </w:p>
    <w:p>
      <w:pPr>
        <w:pStyle w:val="Heading1"/>
      </w:pPr>
      <w:r>
        <w:t>6 Annual leave</w:t>
      </w:r>
    </w:p>
    <w:p>
      <w:pPr>
        <w:widowControl/>
      </w:pPr>
      <w:r>
        <w:t>For a five-day working week, annual leave is thirty working days, including twenty days of statutory minimum leave. A different regular distribution is converted proportionately. Statutory additional leave remains unaffected. Requests are considered with personal preferences, social circumstances and operational needs.</w:t>
      </w:r>
    </w:p>
    <w:p>
      <w:pPr>
        <w:widowControl/>
      </w:pPr>
      <w:r>
        <w:t>The company informs the employee of available leave and invites timely use. Leave does not disappear merely because a software calendar is reset. Proven illness during leave is treated under the statutory rules. On termination, the company issues the required leave certificate independently of any outstanding expense claim.</w:t>
      </w:r>
    </w:p>
    <w:p>
      <w:pPr>
        <w:pStyle w:val="Heading1"/>
      </w:pPr>
      <w:r>
        <w:t>7 Absence and illness</w:t>
      </w:r>
    </w:p>
    <w:p>
      <w:pPr>
        <w:widowControl/>
      </w:pPr>
      <w:r>
        <w:t>The employee reports an inability to work and its expected duration without undue delay. Medical certification is obtained no later than the fourth calendar day, unless an earlier certificate is lawfully requested. Where the electronic certificate system applies, the company retrieves the relevant data.</w:t>
      </w:r>
    </w:p>
    <w:p>
      <w:pPr>
        <w:widowControl/>
      </w:pPr>
      <w:r>
        <w:t>A diagnosis is not generally required. Appropriate alternative evidence is supplied when the electronic procedure does not apply, including relevant foreign medical certificates. Continued absence is reported promptly. Continued remuneration follows statutory conditions. The employee is not required to work while medically unfit.</w:t>
      </w:r>
    </w:p>
    <w:p>
      <w:pPr>
        <w:pStyle w:val="Heading1"/>
      </w:pPr>
      <w:r>
        <w:t>8 Software and other work products</w:t>
      </w:r>
    </w:p>
    <w:p>
      <w:pPr>
        <w:widowControl/>
      </w:pPr>
      <w:r>
        <w:t>For computer programs created in the performance of assigned duties or under the employer's instructions, the employer's economic rights follow Paragraf 69b UrhG. For other task-related works, the employee grants the exclusive rights needed for the agreed business use. Personal authorship rights are not described as transferable ownership.</w:t>
      </w:r>
    </w:p>
    <w:p>
      <w:pPr>
        <w:widowControl/>
      </w:pPr>
      <w:r>
        <w:t>Pre-existing work and third-party materials are identified before incorporation, together with their source and licence conditions. A company approval does not replace a licence from a third party. Editable files, source code and documentation needed for continued operation are stored in the designated company repository. Statutory rights concerning employee inventions and remuneration remain unaffected.</w:t>
      </w:r>
    </w:p>
    <w:p>
      <w:pPr>
        <w:pStyle w:val="Heading1"/>
      </w:pPr>
      <w:r>
        <w:t>9 Confidentiality</w:t>
      </w:r>
    </w:p>
    <w:p>
      <w:pPr>
        <w:widowControl/>
      </w:pPr>
      <w:r>
        <w:t>Non-public technical and commercial information with a legitimate confidentiality interest must be protected. Public information and general professional experience do not become secret merely because they are encountered at work. After employment, the duty continues only for information that remains legitimately confidential.</w:t>
      </w:r>
    </w:p>
    <w:p>
      <w:pPr>
        <w:widowControl/>
      </w:pPr>
      <w:r>
        <w:t>Lawful reports and disclosures under the German Whistleblower Protection Act, mandatory disclosures and confidential legal advice are not prohibited. Prior management permission is not required for a protected report to a competent reporting body. Statutory conditions for protection continue to apply. Loss of a device or unauthorised access is reported promptly to the designated technical contact.</w:t>
      </w:r>
    </w:p>
    <w:p>
      <w:pPr>
        <w:pStyle w:val="Heading1"/>
      </w:pPr>
      <w:r>
        <w:t>10 Competition and secondary activities</w:t>
      </w:r>
    </w:p>
    <w:p>
      <w:pPr>
        <w:widowControl/>
      </w:pPr>
      <w:r>
        <w:t>No post-employment non-compete is agreed. During employment, unlawful competing activities are prohibited. A secondary activity is notified with its expected hours; permission may be refused only for a legitimate conflicting interest. Statutory representation duties are not a permission-based secondary activity.</w:t>
      </w:r>
    </w:p>
    <w:p>
      <w:pPr>
        <w:widowControl/>
      </w:pPr>
      <w:r>
        <w:t>Passive small holdings in publicly traded companies are not treated as a competing business merely because they exist. The employee does not promise to withdraw from a professional association or abandon general professional knowledge on leaving. Any later restraint requires a separate agreement.</w:t>
      </w:r>
    </w:p>
    <w:p>
      <w:pPr>
        <w:pStyle w:val="Heading1"/>
      </w:pPr>
      <w:r>
        <w:t>11 Notice and termination</w:t>
      </w:r>
    </w:p>
    <w:p>
      <w:pPr>
        <w:widowControl/>
      </w:pPr>
      <w:r>
        <w:t>After probation, the agreed notice period for both parties is 3 months to month end. Mandatory longer employer notice periods remain applicable.</w:t>
      </w:r>
    </w:p>
    <w:p>
      <w:pPr>
        <w:widowControl/>
      </w:pPr>
      <w:r>
        <w:t>Termination notices and termination agreements require the statutory written form; electronic form is excluded. An email or chat message does not replace that requirement. Extraordinary termination remains possible where statutory conditions are met. Paid release from work must specify any intended allocation of leave and observe the applicable requirements. Statutory court time limits are not extended by informal discussions.</w:t>
      </w:r>
    </w:p>
    <w:p>
      <w:pPr>
        <w:pStyle w:val="Heading1"/>
      </w:pPr>
      <w:r>
        <w:t>12 Equipment and handover</w:t>
      </w:r>
    </w:p>
    <w:p>
      <w:pPr>
        <w:widowControl/>
      </w:pPr>
      <w:r>
        <w:t>The company supplies the equipment necessary for the work and records each item when issued. Necessary approved expenses are reimbursed. On leaving or changing duties, devices, keys and business records are returned against acknowledgement. Private files may be removed in coordination with technical support before return.</w:t>
      </w:r>
    </w:p>
    <w:p>
      <w:pPr>
        <w:widowControl/>
      </w:pPr>
      <w:r>
        <w:t>Handover includes the current version, outstanding factual questions and the relevant supporting files. It does not require disclosure of passwords to private accounts. Ordinary wear is not automatically deducted from salary. Applicable limitations on employee liability remain in place.</w:t>
      </w:r>
    </w:p>
    <w:p>
      <w:pPr>
        <w:pStyle w:val="Heading1"/>
      </w:pPr>
      <w:r>
        <w:t>13 Company rules and claims</w:t>
      </w:r>
    </w:p>
    <w:p>
      <w:pPr>
        <w:widowControl/>
      </w:pPr>
      <w:r>
        <w:t>No collective agreement is incorporated by individual reference. Applicable works agreements operate according to their legal scope. Safety instructions are provided before work begins; a customer deadline does not authorise their suspension. Mandatory training is working time.</w:t>
      </w:r>
    </w:p>
    <w:p>
      <w:pPr>
        <w:widowControl/>
      </w:pPr>
      <w:r>
        <w:t>Claims arising from employment must be asserted in text form within three months of becoming due, except claims that cannot lawfully be subjected to such a period. Excluded claims include statutory minimum pay, claims for intentional or grossly negligent breach and injury to life, body or health. Mandatory court filing periods remain separate.</w:t>
      </w:r>
    </w:p>
    <w:p>
      <w:pPr>
        <w:pStyle w:val="Heading1"/>
      </w:pPr>
      <w:r>
        <w:t>14 Law and counterparts</w:t>
      </w:r>
    </w:p>
    <w:p>
      <w:pPr>
        <w:widowControl/>
      </w:pPr>
      <w:r>
        <w:t>German law applies. Mandatory employee protections remain unaffected by the language of this agreement. Jurisdiction follows the statutory rules; no exclusive foreign court is designated. Individual agreements take effect according to law, and any stricter statutory form must be respected.</w:t>
      </w:r>
    </w:p>
    <w:p>
      <w:pPr>
        <w:widowControl/>
      </w:pPr>
      <w:r>
        <w:t>Both parties receive a counterpart with the agreed additions. The invalidity of a clause has the consequences prescribed by law and does not create an automatic replacement clause chosen solely for the company's economic benefit. Questions about the personnel copy are directed to the personnel department; technical duties are discussed with the responsible team lead.</w:t>
      </w:r>
    </w:p>
    <w:p>
      <w:pPr>
        <w:widowControl/>
      </w:pPr>
      <w:r>
        <w:t>Berlin, 17.04.2025</w:t>
      </w:r>
    </w:p>
    <w:p>
      <w:pPr>
        <w:widowControl/>
      </w:pPr>
      <w:r>
        <w:t>For Innovation Systems GmbH: Charlotte Reuter</w:t>
      </w:r>
    </w:p>
    <w:p>
      <w:pPr>
        <w:widowControl/>
      </w:pPr>
      <w:r>
        <w:t>Sofia Moretti</w:t>
      </w:r>
    </w:p>
    <w:p>
      <w:pPr>
        <w:widowControl/>
      </w:pPr>
      <w:r>
        <w:t>Personnel copy with the signatories' names transcribed from the signed counterpart.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dc:language>en-GB</dc:language>
</cp:coreProperties>
</file>