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Geschäftsführeranstellungsvertrag</w:t>
      </w:r>
    </w:p>
    <w:p>
      <w:pPr>
        <w:widowControl/>
      </w:pPr>
      <w:r>
        <w:t>Zwischen der Innovation Systems GmbH, vertreten aufgrund Gesellschafterbeschlusses durch Jonas Albrecht, und Matthias Seifert, Berlin, wird folgender Dienstvertrag geschlossen. Vertragsdatum: 20.06.2022.</w:t>
      </w:r>
    </w:p>
    <w:p>
      <w:pPr>
        <w:widowControl/>
      </w:pPr>
      <w:r>
        <w:t>Matthias Seifert ist nicht am Stammkapital beteiligt. Die Gesellschafterversammlung hat ihn mit Wirkung zum 01.07.2022 zum Geschäftsführer bestellt. Dieser Vertrag regelt seine Tätigkeit und Vergütung ab diesem Tag. Die Bestellung und das Dienstverhältnis werden gesondert behandelt.</w:t>
      </w:r>
    </w:p>
    <w:p>
      <w:pPr>
        <w:pStyle w:val="Heading1"/>
      </w:pPr>
      <w:r>
        <w:t>1 Leitung und Zuständigkeit</w:t>
      </w:r>
    </w:p>
    <w:p>
      <w:pPr>
        <w:widowControl/>
      </w:pPr>
      <w:r>
        <w:t>Der Geschäftsführer leitet die Gesellschaft nach Gesetz, Satzung und den wirksamen Gesellschafterbeschlüssen. Er unterrichtet die Gesellschafter über wesentliche Vorgänge, den Auftragsbestand und die Zahlungsentwicklung. Die Zuständigkeiten werden nicht allein aus einer Funktionsbezeichnung abgeleitet.</w:t>
      </w:r>
    </w:p>
    <w:p>
      <w:pPr>
        <w:widowControl/>
      </w:pPr>
      <w:r>
        <w:t>Matthias Seifert verantwortet den operativen Betrieb, Beschaffung und Vertrieb. Er berichtet wöchentlich an die Gesellschafterversammlung beziehungsweise deren benannten Ansprechpartner. Finanzierung, Beteiligungsverhandlungen und die Produktstrategie liegen im Ressort von Charlotte Reuter. Die Gesamtverantwortung nach Gesetz bleibt unberührt.</w:t>
      </w:r>
    </w:p>
    <w:p>
      <w:pPr>
        <w:pStyle w:val="Heading1"/>
      </w:pPr>
      <w:r>
        <w:t>2 Vertretung und Zustimmung</w:t>
      </w:r>
    </w:p>
    <w:p>
      <w:pPr>
        <w:widowControl/>
      </w:pPr>
      <w:r>
        <w:t>Der Geschäftsführer vertritt die Gesellschaft nach der im Handelsregister eingetragenen Vertretungsregel. Interne Zustimmungserfordernisse erweitern die externe Vollmacht nicht. Kreditaufnahmen, Sicherheiten, Veräußerung wesentlicher Betriebsmittel und Dauerschuldverhältnisse mit einer Jahresbelastung über 50000 EUR bedürfen eines vorherigen Gesellschafterbeschlusses.</w:t>
      </w:r>
    </w:p>
    <w:p>
      <w:pPr>
        <w:widowControl/>
      </w:pPr>
      <w:r>
        <w:t>Rechtsgeschäfte mit einem Gesellschafter oder einer nahestehenden Person werden vor Abschluss offengelegt. Eine Befreiung von Paragraf 181 BGB besteht nur, soweit sie gesondert wirksam erteilt und eingetragen ist. Der Geschäftsführer schließt diesen Vertrag nicht zugleich für beide Vertragsseiten ab.</w:t>
      </w:r>
    </w:p>
    <w:p>
      <w:pPr>
        <w:pStyle w:val="Heading1"/>
      </w:pPr>
      <w:r>
        <w:t>3 Tätigkeitsumfang und Ort</w:t>
      </w:r>
    </w:p>
    <w:p>
      <w:pPr>
        <w:widowControl/>
      </w:pPr>
      <w:r>
        <w:t>Die Tätigkeit wird im Berliner Betrieb erbracht. Der Geschäftsführer setzt seine Arbeitskraft für die Gesellschaft ein und richtet die zeitliche Lage nach den Aufgaben. Er hält vereinbarte Berichtstermine ein und stimmt längere Abwesenheiten ab. Eine pauschale Zusage ständiger Erreichbarkeit während Krankheit oder Urlaub wird nicht abgegeben.</w:t>
      </w:r>
    </w:p>
    <w:p>
      <w:pPr>
        <w:widowControl/>
      </w:pPr>
      <w:r>
        <w:t>Für Matthias Seifert sind betriebliche Kerntermine montags bis freitags zwischen 9 und 17 Uhr vorgesehen. Die Gesellschafterversammlung kann ihm im Rahmen des Gesetzes Weisungen erteilen. Er besitzt keine gesellschaftsrechtliche Sperrminorität, keine Stimmrechtsvollmacht und kein Vetorecht gegen solche Weisungen.</w:t>
      </w:r>
    </w:p>
    <w:p>
      <w:pPr>
        <w:pStyle w:val="Heading1"/>
      </w:pPr>
      <w:r>
        <w:t>4 Vergütung</w:t>
      </w:r>
    </w:p>
    <w:p>
      <w:pPr>
        <w:widowControl/>
      </w:pPr>
      <w:r>
        <w:t>Die feste monatliche Bruttovergütung beträgt 9.800,00 EUR. Sie wird am letzten Bankarbeitstag des laufenden Monats fällig. Ein Bonus wird nicht zugesagt. Notwendige dienstliche Aufwendungen werden gegen Beleg erstattet.</w:t>
      </w:r>
    </w:p>
    <w:p>
      <w:pPr>
        <w:widowControl/>
      </w:pPr>
      <w:r>
        <w:t>Für Matthias Seifert führt die Gesellschaft die nach verbindlicher sozialversicherungsrechtlicher Beurteilung geschuldeten Beiträge ab, soweit sie Beitragsschuldner ist. Eine solche Beurteilung entscheidet nicht durch diese Vertragsklausel über arbeitsgerichtliche Zuständigkeit oder Kündigungsschutz. Für Charlotte Reuter wird keine abhängige Beschäftigung allein durch die Verwendung einer Gehaltsabrechnung vereinbart. Die Behandlung richtet sich nach den tatsächlichen und rechtlichen Voraussetzungen.</w:t>
      </w:r>
    </w:p>
    <w:p>
      <w:pPr>
        <w:pStyle w:val="Heading1"/>
      </w:pPr>
      <w:r>
        <w:t>5 Urlaub und Verhinderung</w:t>
      </w:r>
    </w:p>
    <w:p>
      <w:pPr>
        <w:widowControl/>
      </w:pPr>
      <w:r>
        <w:t>Der jährliche Erholungsurlaub beträgt dreißig Arbeitstage bezogen auf eine Fünftagewoche. Die zeitliche Lage wird unter Sicherstellung einer Vertretung abgestimmt. Bei Krankheit wird die voraussichtliche Dauer unverzüglich mitgeteilt und erforderlichenfalls nachgewiesen. Die Gesellschaft zahlt die feste Vergütung für bis zu sechs Wochen fort.</w:t>
      </w:r>
    </w:p>
    <w:p>
      <w:pPr>
        <w:widowControl/>
      </w:pPr>
      <w:r>
        <w:t>Ein Arzt muss grundsätzlich keine Diagnose gegenüber der Gesellschaft offenlegen. Bei längerer Verhinderung wird die Geschäftsverteilung neu geordnet. Eine Organabberufung ist gesondert zu beschließen und wird nicht durch die bloße Änderung eines Kalendereintrags erklärt.</w:t>
      </w:r>
    </w:p>
    <w:p>
      <w:pPr>
        <w:pStyle w:val="Heading1"/>
      </w:pPr>
      <w:r>
        <w:t>6 Berichtswesen und Zahlungsfreigaben</w:t>
      </w:r>
    </w:p>
    <w:p>
      <w:pPr>
        <w:widowControl/>
      </w:pPr>
      <w:r>
        <w:t>Der Geschäftsführer sorgt für geordnete Bücher, zeitnahe Abrechnungen und eine nachvollziehbare Freigabe von Zahlungen. Die wöchentliche Bankübersicht benennt verfügbare Guthaben, Kreditlinien und fällige Verpflichtungen. Nicht bestätigte Finanzierungsvorhaben werden nicht als bereits verfügbare Mittel ausgewiesen.</w:t>
      </w:r>
    </w:p>
    <w:p>
      <w:pPr>
        <w:widowControl/>
      </w:pPr>
      <w:r>
        <w:t>Bei Zahlungsstockungen, Rücklastschriften oder einer wesentlichen Veränderung der Finanzierung werden die übrigen Geschäftsführer und Gesellschafter unverzüglich informiert. Gesetzliche Überwachungs- und Antragspflichten werden nicht durch Ressortabgrenzung oder eine Zusage eines Investors aufgehoben. Die Gesellschaft trägt die Kosten erforderlicher externer Beratung.</w:t>
      </w:r>
    </w:p>
    <w:p>
      <w:pPr>
        <w:pStyle w:val="Heading1"/>
      </w:pPr>
      <w:r>
        <w:t>7 Vertraulichkeit und Arbeitsergebnisse</w:t>
      </w:r>
    </w:p>
    <w:p>
      <w:pPr>
        <w:widowControl/>
      </w:pPr>
      <w:r>
        <w:t>Nicht öffentliche Geschäftsunterlagen sind vertraulich zu behandeln. Gesetzliche Mitteilungspflichten, zulässige Meldungen und die vertrauliche Inanspruchnahme rechtlicher Beratung bleiben unberührt. Allgemeine berufliche Kenntnisse werden nicht dauerhaft der Nutzung entzogen.</w:t>
      </w:r>
    </w:p>
    <w:p>
      <w:pPr>
        <w:widowControl/>
      </w:pPr>
      <w:r>
        <w:t>Im Rahmen der Tätigkeit geschaffene Programme und Unterlagen werden mit den für den betrieblichen Zweck erforderlichen Rechten überlassen. Rechte Dritter und vorbestehende eigene Beiträge werden gesondert benannt. Die Gesellschaft erhält bearbeitbare Dateien und die Unterlagen, die zur Fortführung des Betriebs erforderlich sind.</w:t>
      </w:r>
    </w:p>
    <w:p>
      <w:pPr>
        <w:pStyle w:val="Heading1"/>
      </w:pPr>
      <w:r>
        <w:t>8 Wettbewerb und Nebentätigkeiten</w:t>
      </w:r>
    </w:p>
    <w:p>
      <w:pPr>
        <w:widowControl/>
      </w:pPr>
      <w:r>
        <w:t>Während der Tätigkeit sind konkurrierende Geschäfte für eigene oder fremde Rechnung ohne Zustimmung der Gesellschafterversammlung untersagt. Bestehende Beteiligungen werden offengelegt. Rein vermögensverwaltende kleine Börsenbeteiligungen begründen allein kein Wettbewerbsverhältnis.</w:t>
      </w:r>
    </w:p>
    <w:p>
      <w:pPr>
        <w:widowControl/>
      </w:pPr>
      <w:r>
        <w:t>Ein nachvertragliches Wettbewerbsverbot wird in diesem Vertrag nicht vereinbart. Die Vertraulichkeit rechtmäßig geschützter Unterlagen bleibt hiervon getrennt. Eine spätere Einschränkung der beruflichen Tätigkeit bedarf einer gesonderten Vereinbarung über Gegenstand, Dauer und Gegenleistung.</w:t>
      </w:r>
    </w:p>
    <w:p>
      <w:pPr>
        <w:pStyle w:val="Heading1"/>
      </w:pPr>
      <w:r>
        <w:t>9 Dauer und Beendigung</w:t>
      </w:r>
    </w:p>
    <w:p>
      <w:pPr>
        <w:widowControl/>
      </w:pPr>
      <w:r>
        <w:t>Das Dienstverhältnis läuft auf unbestimmte Zeit. Es kann von jeder Seite mit sechs Monaten Frist zum Ende eines Kalenderquartals gekündigt werden. Gesetzliche Sonderregelungen, insbesondere im eröffneten Insolvenzverfahren, bleiben unberührt. Die außerordentliche Kündigung setzt einen wichtigen Grund voraus.</w:t>
      </w:r>
    </w:p>
    <w:p>
      <w:pPr>
        <w:widowControl/>
      </w:pPr>
      <w:r>
        <w:t>Die Abberufung als Organ beendet das Dienstverhältnis nicht automatisch. Ebenso bewirkt die Beendigung des Dienstvertrages nicht ohne Weiteres die Eintragung einer Organänderung. Nach einer Abberufung wird über Freistellung und Übergabe gesondert entschieden. Die Vergütung wird nach den vertraglichen und gesetzlichen Voraussetzungen abgewickelt.</w:t>
      </w:r>
    </w:p>
    <w:p>
      <w:pPr>
        <w:pStyle w:val="Heading1"/>
      </w:pPr>
      <w:r>
        <w:t>10 Übergabe und Schlussbestimmungen</w:t>
      </w:r>
    </w:p>
    <w:p>
      <w:pPr>
        <w:widowControl/>
      </w:pPr>
      <w:r>
        <w:t>Bei Ausscheiden werden Unterlagen, Schlüssel und Geräte gegen Verzeichnis übergeben. Die Übergabe umfasst Vollmachten, laufende Fristen und den tatsächlichen Stand der Bankzugänge, jedoch keine privaten Passwörter. Die Gesellschaft widerruft oder ändert betriebliche Berechtigungen eigenständig.</w:t>
      </w:r>
    </w:p>
    <w:p>
      <w:pPr>
        <w:widowControl/>
      </w:pPr>
      <w:r>
        <w:t>Es gilt deutsches Recht. Änderungen dieses Vertrages bedürfen der nach Gesetz und Satzung erforderlichen Zustimmung und werden dokumentiert. Eine unwirksame Klausel wird nicht automatisch durch die wirtschaftlich günstigste Regel für die Gesellschaft ersetzt. Jede Seite erhält eine vollständige Ausfertigung mit dem zugehörigen Gesellschafterbeschluss.</w:t>
      </w:r>
    </w:p>
    <w:p>
      <w:pPr>
        <w:widowControl/>
      </w:pPr>
      <w:r>
        <w:t>Berlin, 20.06.2022</w:t>
      </w:r>
    </w:p>
    <w:p>
      <w:pPr>
        <w:widowControl/>
      </w:pPr>
      <w:r>
        <w:t>Für die Gesellschaft aufgrund gesonderter Vollmacht: Jonas Albrecht</w:t>
      </w:r>
    </w:p>
    <w:p>
      <w:pPr>
        <w:widowControl/>
      </w:pPr>
      <w:r>
        <w:t>Matthias Seifert</w:t>
      </w:r>
    </w:p>
    <w:p>
      <w:pPr>
        <w:widowControl/>
      </w:pPr>
      <w:r>
        <w:t>Namenswiedergabe der unterzeichneten Ausfertigung in der Gesellschaftsakte.</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GF01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GF01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Geschäftsführeranstellungsvertrag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