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Amtsgericht Charlottenburg</w:t>
      </w:r>
    </w:p>
    <w:p>
      <w:r>
        <w:t>Insolvenzgericht, Amtsgerichtsplatz 1, 14057 Berlin</w:t>
      </w:r>
    </w:p>
    <w:p>
      <w:pPr>
        <w:pStyle w:val="Title"/>
      </w:pPr>
      <w:r>
        <w:t>Anordnung von Sicherungsmaßnahmen</w:t>
      </w:r>
    </w:p>
    <w:p>
      <w:pPr>
        <w:widowControl/>
      </w:pPr>
      <w:r>
        <w:t>An: Innovation Systems GmbH, vertreten durch die Geschäftsführung</w:t>
      </w:r>
    </w:p>
    <w:p>
      <w:pPr>
        <w:widowControl/>
      </w:pPr>
      <w:r>
        <w:t>Berlin, 25.08.2026, 09:15 Uhr</w:t>
      </w:r>
    </w:p>
    <w:p>
      <w:pPr>
        <w:widowControl/>
      </w:pPr>
      <w:r>
        <w:t>In dem Insolvenzeröffnungsverfahren wird angeordnet:</w:t>
      </w:r>
    </w:p>
    <w:p>
      <w:pPr>
        <w:widowControl/>
      </w:pPr>
      <w:r>
        <w:t>Zur Sicherung des Vermögens wird Rechtsanwalt Dr. Martin Feldmann, Friedrichstraße 88, 10117 Berlin, zum vorläufigen Insolvenzverwalter bestellt. Verfügungen der Schuldnerin sind nur mit Zustimmung des vorläufigen Insolvenzverwalters wirksam. Ein allgemeines Verfügungsverbot wird nicht angeordnet.</w:t>
      </w:r>
    </w:p>
    <w:p>
      <w:pPr>
        <w:widowControl/>
      </w:pPr>
      <w:r>
        <w:t>Die Geschäftsführung bleibt zunächst im Amt und hat dem vorläufigen Verwalter Einsicht in Bücher, Konten und Verträge zu gewähren. Der vorläufige Verwalter prüft die Sicherung der laufenden Geschäftstätigkeit und erstattet bis zum 31.08.2026 Bericht zur Vermögenslage und Kostendeckung. Eine vorweggenommene Eröffnung des Verfahrens ist mit dieser Anordnung nicht verbunden.</w:t>
      </w:r>
    </w:p>
    <w:p>
      <w:pPr>
        <w:widowControl/>
      </w:pPr>
      <w:r>
        <w:t>Die Bankverbindungen sind vollständig offenzulegen. Ein Zahlungslauf wird erst nach dokumentierter Abstimmung freigegeben. Der Beschluss ermächtigt nicht zur pauschalen Verkürzung vertraglicher Kündigungsfristen. Weitere Maßnahmen bleiben nach Eingang des Berichts vorbehalten.</w:t>
      </w:r>
    </w:p>
    <w:p>
      <w:pPr>
        <w:widowControl/>
      </w:pPr>
      <w:r>
        <w:t>Gegen die Anordnung steht dem Schuldner nach Maßgabe der Insolvenzordnung die sofortige Beschwerde zu. Sie ist binnen der gesetzlichen Notfrist von zwei Wochen beim Amtsgericht Charlottenburg schriftlich oder zur Niederschrift der Geschäftsstelle einzulegen. Für professionelle Einreicher gelten die gesetzlichen Anforderungen des elektronischen Rechtsverkehrs.</w:t>
      </w:r>
    </w:p>
    <w:p>
      <w:pPr>
        <w:widowControl/>
      </w:pPr>
      <w:r>
        <w:t>Dr. Lorenz</w:t>
        <w:br/>
        <w:t>Richter am Amtsgericht</w:t>
      </w:r>
    </w:p>
    <w:p>
      <w:pPr>
        <w:widowControl/>
      </w:pPr>
      <w:r>
        <w:t>Abschrift zur Verfahrensakte, ausgefertigt am 25.08.2026</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36i IN 4826/26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Amtsgericht Charlottenburg  |  36i IN 4826/26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Anordnung von Sicherungsmaßnahmen</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