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47342" w14:textId="77777777" w:rsidR="00227667" w:rsidRDefault="00227667">
      <w:pPr>
        <w:spacing w:after="2000"/>
      </w:pPr>
    </w:p>
    <w:p w14:paraId="74465169" w14:textId="77777777" w:rsidR="00227667" w:rsidRPr="00897C47" w:rsidRDefault="00000000">
      <w:pPr>
        <w:spacing w:after="240"/>
        <w:jc w:val="center"/>
        <w:rPr>
          <w:lang w:val="fr-FR"/>
        </w:rPr>
      </w:pPr>
      <w:r w:rsidRPr="00897C47">
        <w:rPr>
          <w:b/>
          <w:bCs/>
          <w:color w:val="1F3864"/>
          <w:sz w:val="52"/>
          <w:szCs w:val="52"/>
          <w:lang w:val="fr-FR"/>
        </w:rPr>
        <w:t>NOTE DE VALORISATION M&amp;A</w:t>
      </w:r>
    </w:p>
    <w:p w14:paraId="48AE3051" w14:textId="77777777" w:rsidR="00227667" w:rsidRPr="00897C47" w:rsidRDefault="00000000">
      <w:pPr>
        <w:shd w:val="clear" w:color="auto" w:fill="1F3864"/>
        <w:spacing w:after="240"/>
        <w:jc w:val="center"/>
        <w:rPr>
          <w:lang w:val="fr-FR"/>
        </w:rPr>
      </w:pPr>
      <w:r w:rsidRPr="00897C47">
        <w:rPr>
          <w:b/>
          <w:bCs/>
          <w:color w:val="FFFFFF"/>
          <w:sz w:val="44"/>
          <w:szCs w:val="44"/>
          <w:lang w:val="fr-FR"/>
        </w:rPr>
        <w:t>SFR / ALTICE FRANCE</w:t>
      </w:r>
    </w:p>
    <w:p w14:paraId="5D806C84" w14:textId="77777777" w:rsidR="00227667" w:rsidRPr="00897C47" w:rsidRDefault="00227667">
      <w:pPr>
        <w:spacing w:after="120"/>
        <w:rPr>
          <w:lang w:val="fr-FR"/>
        </w:rPr>
      </w:pPr>
    </w:p>
    <w:p w14:paraId="22CFDCAC" w14:textId="77777777" w:rsidR="00227667" w:rsidRPr="00897C47" w:rsidRDefault="00000000">
      <w:pPr>
        <w:spacing w:after="160"/>
        <w:jc w:val="center"/>
        <w:rPr>
          <w:lang w:val="fr-FR"/>
        </w:rPr>
      </w:pPr>
      <w:r w:rsidRPr="00897C47">
        <w:rPr>
          <w:i/>
          <w:iCs/>
          <w:color w:val="2E4D7B"/>
          <w:sz w:val="24"/>
          <w:szCs w:val="24"/>
          <w:lang w:val="fr-FR"/>
        </w:rPr>
        <w:t>Analyse de valorisation dans le cadre d'une opération M&amp;A</w:t>
      </w:r>
    </w:p>
    <w:p w14:paraId="1B51685C" w14:textId="77777777" w:rsidR="00227667" w:rsidRDefault="00000000">
      <w:pPr>
        <w:spacing w:after="400"/>
        <w:jc w:val="center"/>
      </w:pPr>
      <w:r>
        <w:rPr>
          <w:i/>
          <w:iCs/>
          <w:color w:val="4472C4"/>
          <w:sz w:val="22"/>
          <w:szCs w:val="22"/>
        </w:rPr>
        <w:t xml:space="preserve">Point de </w:t>
      </w:r>
      <w:proofErr w:type="spellStart"/>
      <w:r>
        <w:rPr>
          <w:i/>
          <w:iCs/>
          <w:color w:val="4472C4"/>
          <w:sz w:val="22"/>
          <w:szCs w:val="22"/>
        </w:rPr>
        <w:t>vue</w:t>
      </w:r>
      <w:proofErr w:type="spellEnd"/>
      <w:r>
        <w:rPr>
          <w:i/>
          <w:iCs/>
          <w:color w:val="4472C4"/>
          <w:sz w:val="22"/>
          <w:szCs w:val="22"/>
        </w:rPr>
        <w:t xml:space="preserve"> : Consortium Bouygues Telecom / Iliad (Free) / Orange</w:t>
      </w:r>
    </w:p>
    <w:p w14:paraId="1D1D5BE7" w14:textId="77777777" w:rsidR="00227667" w:rsidRDefault="00227667">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7"/>
        <w:gridCol w:w="6211"/>
      </w:tblGrid>
      <w:tr w:rsidR="00227667" w14:paraId="4BA97257" w14:textId="77777777">
        <w:tc>
          <w:tcPr>
            <w:tcW w:w="3200" w:type="dxa"/>
            <w:tcBorders>
              <w:top w:val="single" w:sz="1" w:space="0" w:color="888888"/>
              <w:left w:val="single" w:sz="1" w:space="0" w:color="888888"/>
              <w:bottom w:val="single" w:sz="1" w:space="0" w:color="888888"/>
              <w:right w:val="single" w:sz="1" w:space="0" w:color="888888"/>
            </w:tcBorders>
            <w:shd w:val="clear" w:color="auto" w:fill="2E4D7B"/>
            <w:tcMar>
              <w:top w:w="80" w:type="dxa"/>
              <w:left w:w="120" w:type="dxa"/>
              <w:bottom w:w="80" w:type="dxa"/>
              <w:right w:w="120" w:type="dxa"/>
            </w:tcMar>
          </w:tcPr>
          <w:p w14:paraId="0A5B7587" w14:textId="77777777" w:rsidR="00227667" w:rsidRDefault="00000000">
            <w:pPr>
              <w:jc w:val="center"/>
            </w:pPr>
            <w:r>
              <w:rPr>
                <w:b/>
                <w:bCs/>
                <w:color w:val="FFFFFF"/>
                <w:sz w:val="18"/>
                <w:szCs w:val="18"/>
              </w:rPr>
              <w:t>Date</w:t>
            </w:r>
          </w:p>
        </w:tc>
        <w:tc>
          <w:tcPr>
            <w:tcW w:w="5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B86FE4" w14:textId="77777777" w:rsidR="00227667" w:rsidRDefault="00000000">
            <w:r>
              <w:rPr>
                <w:sz w:val="18"/>
                <w:szCs w:val="18"/>
              </w:rPr>
              <w:t>Avril 2026</w:t>
            </w:r>
          </w:p>
        </w:tc>
      </w:tr>
      <w:tr w:rsidR="00227667" w:rsidRPr="003011B1" w14:paraId="67507C03" w14:textId="77777777">
        <w:tc>
          <w:tcPr>
            <w:tcW w:w="3200" w:type="dxa"/>
            <w:tcBorders>
              <w:top w:val="single" w:sz="1" w:space="0" w:color="888888"/>
              <w:left w:val="single" w:sz="1" w:space="0" w:color="888888"/>
              <w:bottom w:val="single" w:sz="1" w:space="0" w:color="888888"/>
              <w:right w:val="single" w:sz="1" w:space="0" w:color="888888"/>
            </w:tcBorders>
            <w:shd w:val="clear" w:color="auto" w:fill="2E4D7B"/>
            <w:tcMar>
              <w:top w:w="80" w:type="dxa"/>
              <w:left w:w="120" w:type="dxa"/>
              <w:bottom w:w="80" w:type="dxa"/>
              <w:right w:w="120" w:type="dxa"/>
            </w:tcMar>
          </w:tcPr>
          <w:p w14:paraId="3E945ED4" w14:textId="77777777" w:rsidR="00227667" w:rsidRDefault="00000000">
            <w:pPr>
              <w:jc w:val="center"/>
            </w:pPr>
            <w:r>
              <w:rPr>
                <w:b/>
                <w:bCs/>
                <w:color w:val="FFFFFF"/>
                <w:sz w:val="18"/>
                <w:szCs w:val="18"/>
              </w:rPr>
              <w:t>Transaction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6C215" w14:textId="77777777" w:rsidR="00227667" w:rsidRPr="00897C47" w:rsidRDefault="00000000">
            <w:pPr>
              <w:rPr>
                <w:lang w:val="fr-FR"/>
              </w:rPr>
            </w:pPr>
            <w:r w:rsidRPr="00897C47">
              <w:rPr>
                <w:sz w:val="18"/>
                <w:szCs w:val="18"/>
                <w:lang w:val="fr-FR"/>
              </w:rPr>
              <w:t>Acquisition potentielle de SFR / Altice France</w:t>
            </w:r>
          </w:p>
        </w:tc>
      </w:tr>
      <w:tr w:rsidR="00227667" w:rsidRPr="003011B1" w14:paraId="67B001D6" w14:textId="77777777">
        <w:tc>
          <w:tcPr>
            <w:tcW w:w="3200" w:type="dxa"/>
            <w:tcBorders>
              <w:top w:val="single" w:sz="1" w:space="0" w:color="888888"/>
              <w:left w:val="single" w:sz="1" w:space="0" w:color="888888"/>
              <w:bottom w:val="single" w:sz="1" w:space="0" w:color="888888"/>
              <w:right w:val="single" w:sz="1" w:space="0" w:color="888888"/>
            </w:tcBorders>
            <w:shd w:val="clear" w:color="auto" w:fill="2E4D7B"/>
            <w:tcMar>
              <w:top w:w="80" w:type="dxa"/>
              <w:left w:w="120" w:type="dxa"/>
              <w:bottom w:w="80" w:type="dxa"/>
              <w:right w:w="120" w:type="dxa"/>
            </w:tcMar>
          </w:tcPr>
          <w:p w14:paraId="15B27DDF" w14:textId="77777777" w:rsidR="00227667" w:rsidRDefault="00000000">
            <w:pPr>
              <w:jc w:val="center"/>
            </w:pPr>
            <w:proofErr w:type="spellStart"/>
            <w:r>
              <w:rPr>
                <w:b/>
                <w:bCs/>
                <w:color w:val="FFFFFF"/>
                <w:sz w:val="18"/>
                <w:szCs w:val="18"/>
              </w:rPr>
              <w:t>Méthodes</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B93945F" w14:textId="77777777" w:rsidR="00227667" w:rsidRPr="00897C47" w:rsidRDefault="00000000">
            <w:pPr>
              <w:rPr>
                <w:lang w:val="fr-FR"/>
              </w:rPr>
            </w:pPr>
            <w:r w:rsidRPr="00897C47">
              <w:rPr>
                <w:sz w:val="18"/>
                <w:szCs w:val="18"/>
                <w:lang w:val="fr-FR"/>
              </w:rPr>
              <w:t>DCF (3 scénarios) + Multiples de transactions comparables</w:t>
            </w:r>
          </w:p>
        </w:tc>
      </w:tr>
      <w:tr w:rsidR="00227667" w14:paraId="1606BE00" w14:textId="77777777">
        <w:tc>
          <w:tcPr>
            <w:tcW w:w="3200" w:type="dxa"/>
            <w:tcBorders>
              <w:top w:val="single" w:sz="1" w:space="0" w:color="888888"/>
              <w:left w:val="single" w:sz="1" w:space="0" w:color="888888"/>
              <w:bottom w:val="single" w:sz="1" w:space="0" w:color="888888"/>
              <w:right w:val="single" w:sz="1" w:space="0" w:color="888888"/>
            </w:tcBorders>
            <w:shd w:val="clear" w:color="auto" w:fill="2E4D7B"/>
            <w:tcMar>
              <w:top w:w="80" w:type="dxa"/>
              <w:left w:w="120" w:type="dxa"/>
              <w:bottom w:w="80" w:type="dxa"/>
              <w:right w:w="120" w:type="dxa"/>
            </w:tcMar>
          </w:tcPr>
          <w:p w14:paraId="66435C5C" w14:textId="77777777" w:rsidR="00227667" w:rsidRDefault="00000000">
            <w:pPr>
              <w:jc w:val="center"/>
            </w:pPr>
            <w:r>
              <w:rPr>
                <w:b/>
                <w:bCs/>
                <w:color w:val="FFFFFF"/>
                <w:sz w:val="18"/>
                <w:szCs w:val="18"/>
              </w:rPr>
              <w:t xml:space="preserve">EV </w:t>
            </w:r>
            <w:proofErr w:type="spellStart"/>
            <w:r>
              <w:rPr>
                <w:b/>
                <w:bCs/>
                <w:color w:val="FFFFFF"/>
                <w:sz w:val="18"/>
                <w:szCs w:val="18"/>
              </w:rPr>
              <w:t>retenue</w:t>
            </w:r>
            <w:proofErr w:type="spellEnd"/>
            <w:r>
              <w:rPr>
                <w:b/>
                <w:bCs/>
                <w:color w:val="FFFFFF"/>
                <w:sz w:val="18"/>
                <w:szCs w:val="18"/>
              </w:rPr>
              <w:t xml:space="preserve"> (fourchette)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B2BA9" w14:textId="5DDCA585" w:rsidR="00227667" w:rsidRDefault="00000000">
            <w:r>
              <w:rPr>
                <w:b/>
                <w:bCs/>
                <w:sz w:val="18"/>
                <w:szCs w:val="18"/>
              </w:rPr>
              <w:t xml:space="preserve">24 095 M€  </w:t>
            </w:r>
            <w:r w:rsidR="00E9304F">
              <w:rPr>
                <w:b/>
                <w:bCs/>
                <w:sz w:val="18"/>
                <w:szCs w:val="18"/>
              </w:rPr>
              <w:t>-</w:t>
            </w:r>
            <w:r>
              <w:rPr>
                <w:b/>
                <w:bCs/>
                <w:sz w:val="18"/>
                <w:szCs w:val="18"/>
              </w:rPr>
              <w:t xml:space="preserve">  28 395 M€  </w:t>
            </w:r>
            <w:r w:rsidR="00E9304F">
              <w:rPr>
                <w:b/>
                <w:bCs/>
                <w:sz w:val="18"/>
                <w:szCs w:val="18"/>
              </w:rPr>
              <w:t>-</w:t>
            </w:r>
            <w:r>
              <w:rPr>
                <w:b/>
                <w:bCs/>
                <w:sz w:val="18"/>
                <w:szCs w:val="18"/>
              </w:rPr>
              <w:t xml:space="preserve">  32 950 M€  (Bear / Base / Bull)</w:t>
            </w:r>
          </w:p>
        </w:tc>
      </w:tr>
      <w:tr w:rsidR="00227667" w14:paraId="46AE923F" w14:textId="77777777">
        <w:tc>
          <w:tcPr>
            <w:tcW w:w="3200" w:type="dxa"/>
            <w:tcBorders>
              <w:top w:val="single" w:sz="1" w:space="0" w:color="888888"/>
              <w:left w:val="single" w:sz="1" w:space="0" w:color="888888"/>
              <w:bottom w:val="single" w:sz="1" w:space="0" w:color="888888"/>
              <w:right w:val="single" w:sz="1" w:space="0" w:color="888888"/>
            </w:tcBorders>
            <w:shd w:val="clear" w:color="auto" w:fill="2E4D7B"/>
            <w:tcMar>
              <w:top w:w="80" w:type="dxa"/>
              <w:left w:w="120" w:type="dxa"/>
              <w:bottom w:w="80" w:type="dxa"/>
              <w:right w:w="120" w:type="dxa"/>
            </w:tcMar>
          </w:tcPr>
          <w:p w14:paraId="1BB3C40B" w14:textId="77777777" w:rsidR="00227667" w:rsidRDefault="00000000">
            <w:pPr>
              <w:jc w:val="center"/>
            </w:pPr>
            <w:proofErr w:type="spellStart"/>
            <w:r>
              <w:rPr>
                <w:b/>
                <w:bCs/>
                <w:color w:val="FFFFFF"/>
                <w:sz w:val="18"/>
                <w:szCs w:val="18"/>
              </w:rPr>
              <w:t>Offre</w:t>
            </w:r>
            <w:proofErr w:type="spellEnd"/>
            <w:r>
              <w:rPr>
                <w:b/>
                <w:bCs/>
                <w:color w:val="FFFFFF"/>
                <w:sz w:val="18"/>
                <w:szCs w:val="18"/>
              </w:rPr>
              <w:t xml:space="preserve"> consortium</w:t>
            </w:r>
          </w:p>
        </w:tc>
        <w:tc>
          <w:tcPr>
            <w:tcW w:w="5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749CC2" w14:textId="77777777" w:rsidR="00227667" w:rsidRDefault="00000000">
            <w:r>
              <w:rPr>
                <w:sz w:val="18"/>
                <w:szCs w:val="18"/>
              </w:rPr>
              <w:t>~20 000 M€ (</w:t>
            </w:r>
            <w:proofErr w:type="spellStart"/>
            <w:r>
              <w:rPr>
                <w:sz w:val="18"/>
                <w:szCs w:val="18"/>
              </w:rPr>
              <w:t>dette</w:t>
            </w:r>
            <w:proofErr w:type="spellEnd"/>
            <w:r>
              <w:rPr>
                <w:sz w:val="18"/>
                <w:szCs w:val="18"/>
              </w:rPr>
              <w:t xml:space="preserve"> </w:t>
            </w:r>
            <w:proofErr w:type="spellStart"/>
            <w:r>
              <w:rPr>
                <w:sz w:val="18"/>
                <w:szCs w:val="18"/>
              </w:rPr>
              <w:t>incluse</w:t>
            </w:r>
            <w:proofErr w:type="spellEnd"/>
            <w:r>
              <w:rPr>
                <w:sz w:val="18"/>
                <w:szCs w:val="18"/>
              </w:rPr>
              <w:t xml:space="preserve">, </w:t>
            </w:r>
            <w:proofErr w:type="spellStart"/>
            <w:r>
              <w:rPr>
                <w:sz w:val="18"/>
                <w:szCs w:val="18"/>
              </w:rPr>
              <w:t>jan.</w:t>
            </w:r>
            <w:proofErr w:type="spellEnd"/>
            <w:r>
              <w:rPr>
                <w:sz w:val="18"/>
                <w:szCs w:val="18"/>
              </w:rPr>
              <w:t xml:space="preserve"> 2026)</w:t>
            </w:r>
          </w:p>
        </w:tc>
      </w:tr>
      <w:tr w:rsidR="00227667" w:rsidRPr="003011B1" w14:paraId="6A331CC1" w14:textId="77777777">
        <w:tc>
          <w:tcPr>
            <w:tcW w:w="3200" w:type="dxa"/>
            <w:tcBorders>
              <w:top w:val="single" w:sz="1" w:space="0" w:color="888888"/>
              <w:left w:val="single" w:sz="1" w:space="0" w:color="888888"/>
              <w:bottom w:val="single" w:sz="1" w:space="0" w:color="888888"/>
              <w:right w:val="single" w:sz="1" w:space="0" w:color="888888"/>
            </w:tcBorders>
            <w:shd w:val="clear" w:color="auto" w:fill="2E4D7B"/>
            <w:tcMar>
              <w:top w:w="80" w:type="dxa"/>
              <w:left w:w="120" w:type="dxa"/>
              <w:bottom w:w="80" w:type="dxa"/>
              <w:right w:w="120" w:type="dxa"/>
            </w:tcMar>
          </w:tcPr>
          <w:p w14:paraId="322D5793" w14:textId="77777777" w:rsidR="00227667" w:rsidRDefault="00000000">
            <w:pPr>
              <w:jc w:val="center"/>
            </w:pPr>
            <w:r>
              <w:rPr>
                <w:b/>
                <w:bCs/>
                <w:color w:val="FFFFFF"/>
                <w:sz w:val="18"/>
                <w:szCs w:val="18"/>
              </w:rPr>
              <w:t>Données sources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57055" w14:textId="77777777" w:rsidR="00227667" w:rsidRPr="00897C47" w:rsidRDefault="00000000">
            <w:pPr>
              <w:rPr>
                <w:lang w:val="fr-FR"/>
              </w:rPr>
            </w:pPr>
            <w:r w:rsidRPr="00897C47">
              <w:rPr>
                <w:sz w:val="18"/>
                <w:szCs w:val="18"/>
                <w:lang w:val="fr-FR"/>
              </w:rPr>
              <w:t>Comptes consolidés IFRS Altice France SA (2022, 2023, 2024)</w:t>
            </w:r>
          </w:p>
        </w:tc>
      </w:tr>
    </w:tbl>
    <w:p w14:paraId="45E31AF0" w14:textId="77777777" w:rsidR="00227667" w:rsidRPr="00897C47" w:rsidRDefault="00227667">
      <w:pPr>
        <w:spacing w:after="400"/>
        <w:rPr>
          <w:lang w:val="fr-FR"/>
        </w:rPr>
      </w:pPr>
    </w:p>
    <w:p w14:paraId="3D644160" w14:textId="77777777" w:rsidR="00E9304F" w:rsidRDefault="00000000">
      <w:pPr>
        <w:spacing w:after="80"/>
        <w:jc w:val="center"/>
        <w:rPr>
          <w:i/>
          <w:iCs/>
          <w:color w:val="888888"/>
          <w:lang w:val="fr-FR"/>
        </w:rPr>
      </w:pPr>
      <w:r w:rsidRPr="00897C47">
        <w:rPr>
          <w:i/>
          <w:iCs/>
          <w:color w:val="888888"/>
          <w:lang w:val="fr-FR"/>
        </w:rPr>
        <w:t xml:space="preserve">Document établi à des fins analytiques et pédagogiques </w:t>
      </w:r>
      <w:r w:rsidR="00E9304F">
        <w:rPr>
          <w:i/>
          <w:iCs/>
          <w:color w:val="888888"/>
          <w:lang w:val="fr-FR"/>
        </w:rPr>
        <w:t>-</w:t>
      </w:r>
      <w:r w:rsidRPr="00897C47">
        <w:rPr>
          <w:i/>
          <w:iCs/>
          <w:color w:val="888888"/>
          <w:lang w:val="fr-FR"/>
        </w:rPr>
        <w:t xml:space="preserve"> Projet personnel de valorisation M&amp;A</w:t>
      </w:r>
      <w:r w:rsidR="00E9304F">
        <w:rPr>
          <w:i/>
          <w:iCs/>
          <w:color w:val="888888"/>
          <w:lang w:val="fr-FR"/>
        </w:rPr>
        <w:t xml:space="preserve"> </w:t>
      </w:r>
    </w:p>
    <w:p w14:paraId="348D4892" w14:textId="43AC2069" w:rsidR="00227667" w:rsidRPr="00897C47" w:rsidRDefault="00E9304F">
      <w:pPr>
        <w:spacing w:after="80"/>
        <w:jc w:val="center"/>
        <w:rPr>
          <w:lang w:val="fr-FR"/>
        </w:rPr>
      </w:pPr>
      <w:r>
        <w:rPr>
          <w:i/>
          <w:iCs/>
          <w:color w:val="888888"/>
          <w:lang w:val="fr-FR"/>
        </w:rPr>
        <w:t>Oscar Rousset</w:t>
      </w:r>
    </w:p>
    <w:p w14:paraId="2B25EBA5" w14:textId="77777777" w:rsidR="00227667" w:rsidRPr="00897C47" w:rsidRDefault="00000000">
      <w:pPr>
        <w:rPr>
          <w:lang w:val="fr-FR"/>
        </w:rPr>
      </w:pPr>
      <w:r w:rsidRPr="00897C47">
        <w:rPr>
          <w:lang w:val="fr-FR"/>
        </w:rPr>
        <w:br w:type="page"/>
      </w:r>
    </w:p>
    <w:p w14:paraId="68CDF447" w14:textId="77777777" w:rsidR="00227667" w:rsidRPr="00897C47" w:rsidRDefault="00000000">
      <w:pPr>
        <w:pStyle w:val="Heading1"/>
        <w:shd w:val="clear" w:color="auto" w:fill="1F3864"/>
        <w:ind w:left="200"/>
        <w:rPr>
          <w:lang w:val="fr-FR"/>
        </w:rPr>
      </w:pPr>
      <w:r w:rsidRPr="00897C47">
        <w:rPr>
          <w:lang w:val="fr-FR"/>
        </w:rPr>
        <w:lastRenderedPageBreak/>
        <w:t xml:space="preserve">1. </w:t>
      </w:r>
      <w:proofErr w:type="spellStart"/>
      <w:r w:rsidRPr="00897C47">
        <w:rPr>
          <w:lang w:val="fr-FR"/>
        </w:rPr>
        <w:t>Executive</w:t>
      </w:r>
      <w:proofErr w:type="spellEnd"/>
      <w:r w:rsidRPr="00897C47">
        <w:rPr>
          <w:lang w:val="fr-FR"/>
        </w:rPr>
        <w:t xml:space="preserve"> </w:t>
      </w:r>
      <w:proofErr w:type="spellStart"/>
      <w:r w:rsidRPr="00897C47">
        <w:rPr>
          <w:lang w:val="fr-FR"/>
        </w:rPr>
        <w:t>Summary</w:t>
      </w:r>
      <w:proofErr w:type="spellEnd"/>
    </w:p>
    <w:p w14:paraId="402131BE" w14:textId="77777777" w:rsidR="00227667" w:rsidRPr="00897C47" w:rsidRDefault="00227667">
      <w:pPr>
        <w:spacing w:after="80"/>
        <w:rPr>
          <w:lang w:val="fr-FR"/>
        </w:rPr>
      </w:pPr>
    </w:p>
    <w:p w14:paraId="547E19B8" w14:textId="77777777" w:rsidR="00227667" w:rsidRPr="00897C47" w:rsidRDefault="00000000">
      <w:pPr>
        <w:pStyle w:val="Heading3"/>
        <w:pBdr>
          <w:bottom w:val="single" w:sz="4" w:space="0" w:color="4472C4"/>
        </w:pBdr>
        <w:rPr>
          <w:lang w:val="fr-FR"/>
        </w:rPr>
      </w:pPr>
      <w:r w:rsidRPr="00897C47">
        <w:rPr>
          <w:lang w:val="fr-FR"/>
        </w:rPr>
        <w:t>1.1 Contexte de l'opération</w:t>
      </w:r>
    </w:p>
    <w:p w14:paraId="04AD7D91" w14:textId="019E6388" w:rsidR="00227667" w:rsidRPr="00897C47" w:rsidRDefault="00000000">
      <w:pPr>
        <w:spacing w:after="120"/>
        <w:jc w:val="both"/>
        <w:rPr>
          <w:lang w:val="fr-FR"/>
        </w:rPr>
      </w:pPr>
      <w:r w:rsidRPr="00897C47">
        <w:rPr>
          <w:lang w:val="fr-FR"/>
        </w:rPr>
        <w:t>Altice France, maison mère de l'opérateur télécom SFR, traverse depuis 2022 une crise financière de grande ampleur résultant d'une stratégie d'expansion agressive menée par Patrick Drahi depuis le rachat de SFR pour 17 milliards d'euros en 2014. La combinaison d'une dette colossale qui atteignait 24,1 milliards d'euros avant la restructuration d'octobre 2025 et d'une érosion structurelle de la base d'abonnés a conduit le groupe à initier un plan de sauvegarde accélérée homologué par le Tribunal de commerce de Paris en août 2025. Ce plan, entré en vigueur le 1</w:t>
      </w:r>
      <w:r w:rsidRPr="00897C47">
        <w:rPr>
          <w:vertAlign w:val="superscript"/>
          <w:lang w:val="fr-FR"/>
        </w:rPr>
        <w:t>er</w:t>
      </w:r>
      <w:r w:rsidRPr="00897C47">
        <w:rPr>
          <w:lang w:val="fr-FR"/>
        </w:rPr>
        <w:t xml:space="preserve"> octobre 2025, a permis de ramener la dette à environ 15,5 milliards d'euros en échange de l'entrée de créanciers institutionnels dont </w:t>
      </w:r>
      <w:proofErr w:type="spellStart"/>
      <w:r w:rsidRPr="00897C47">
        <w:rPr>
          <w:lang w:val="fr-FR"/>
        </w:rPr>
        <w:t>BlackRock</w:t>
      </w:r>
      <w:proofErr w:type="spellEnd"/>
      <w:r w:rsidRPr="00897C47">
        <w:rPr>
          <w:lang w:val="fr-FR"/>
        </w:rPr>
        <w:t xml:space="preserve">, </w:t>
      </w:r>
      <w:proofErr w:type="spellStart"/>
      <w:r w:rsidRPr="00897C47">
        <w:rPr>
          <w:lang w:val="fr-FR"/>
        </w:rPr>
        <w:t>Pimco</w:t>
      </w:r>
      <w:proofErr w:type="spellEnd"/>
      <w:r w:rsidRPr="00897C47">
        <w:rPr>
          <w:lang w:val="fr-FR"/>
        </w:rPr>
        <w:t xml:space="preserve"> et </w:t>
      </w:r>
      <w:proofErr w:type="spellStart"/>
      <w:r w:rsidRPr="00897C47">
        <w:rPr>
          <w:lang w:val="fr-FR"/>
        </w:rPr>
        <w:t>Fidelity</w:t>
      </w:r>
      <w:proofErr w:type="spellEnd"/>
      <w:r w:rsidRPr="00897C47">
        <w:rPr>
          <w:lang w:val="fr-FR"/>
        </w:rPr>
        <w:t xml:space="preserve"> à hauteur de 45 % du capital.</w:t>
      </w:r>
    </w:p>
    <w:p w14:paraId="0EB6CF5D" w14:textId="7CCB6BCA" w:rsidR="00227667" w:rsidRPr="00897C47" w:rsidRDefault="00000000">
      <w:pPr>
        <w:spacing w:after="120"/>
        <w:jc w:val="both"/>
        <w:rPr>
          <w:lang w:val="fr-FR"/>
        </w:rPr>
      </w:pPr>
      <w:r w:rsidRPr="00897C47">
        <w:rPr>
          <w:lang w:val="fr-FR"/>
        </w:rPr>
        <w:t>Dans ce contexte, un consortium inédit regroupant les trois principaux concurrents de SFR Bouygues Telecom, Iliad (Free) et Orange a déposé en octobre 2025 une offre indicative de 17 milliards d'euros pour les actifs télécoms d'Altice France. Rejetée par Patrick Drahi comme insuffisante, cette offre a été rehaussée à environ 20 milliards d'euros en janvier 2026, à l'issue d'un premier audit de due diligence. La présente note se place du point de vue de ce consortium et vise à déterminer la valeur intrinsèque de SFR ainsi que le prix maximal économiquement justifiable pour un acquéreur.</w:t>
      </w:r>
    </w:p>
    <w:p w14:paraId="163DD24B" w14:textId="77777777" w:rsidR="00227667" w:rsidRPr="00897C47" w:rsidRDefault="00227667">
      <w:pPr>
        <w:spacing w:after="80"/>
        <w:rPr>
          <w:lang w:val="fr-FR"/>
        </w:rPr>
      </w:pPr>
    </w:p>
    <w:p w14:paraId="5CB940DD" w14:textId="77777777" w:rsidR="00227667" w:rsidRPr="00897C47" w:rsidRDefault="00000000">
      <w:pPr>
        <w:pStyle w:val="Heading3"/>
        <w:pBdr>
          <w:bottom w:val="single" w:sz="4" w:space="0" w:color="4472C4"/>
        </w:pBdr>
        <w:rPr>
          <w:lang w:val="fr-FR"/>
        </w:rPr>
      </w:pPr>
      <w:r w:rsidRPr="00897C47">
        <w:rPr>
          <w:lang w:val="fr-FR"/>
        </w:rPr>
        <w:t>1.2 Synthèse des résultats de valorisation</w:t>
      </w:r>
    </w:p>
    <w:p w14:paraId="49FA5246" w14:textId="77777777" w:rsidR="00227667" w:rsidRPr="00897C47" w:rsidRDefault="00000000">
      <w:pPr>
        <w:spacing w:after="120"/>
        <w:jc w:val="both"/>
        <w:rPr>
          <w:lang w:val="fr-FR"/>
        </w:rPr>
      </w:pPr>
      <w:r w:rsidRPr="00897C47">
        <w:rPr>
          <w:lang w:val="fr-FR"/>
        </w:rPr>
        <w:t>Deux méthodes de valorisation ont été appliquées de manière complémentaire : l'actualisation des flux de trésorerie disponibles (DCF) et les multiples de transactions comparables. Les résultats, synthétisés ci-dessous, sont exprimés en Enterprise Value (valeur d'entreprise, dette incluse).</w:t>
      </w:r>
    </w:p>
    <w:p w14:paraId="2333282A" w14:textId="77777777" w:rsidR="00227667" w:rsidRPr="00897C47" w:rsidRDefault="00227667">
      <w:pPr>
        <w:spacing w:after="80"/>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00"/>
        <w:gridCol w:w="1900"/>
        <w:gridCol w:w="2438"/>
      </w:tblGrid>
      <w:tr w:rsidR="00227667" w14:paraId="150CE32B" w14:textId="77777777">
        <w:tc>
          <w:tcPr>
            <w:tcW w:w="3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7C9899D6" w14:textId="77777777" w:rsidR="00227667" w:rsidRDefault="00000000">
            <w:pPr>
              <w:jc w:val="center"/>
            </w:pPr>
            <w:proofErr w:type="spellStart"/>
            <w:r>
              <w:rPr>
                <w:b/>
                <w:bCs/>
                <w:color w:val="FFFFFF"/>
                <w:sz w:val="18"/>
                <w:szCs w:val="18"/>
              </w:rPr>
              <w:t>Méthode</w:t>
            </w:r>
            <w:proofErr w:type="spellEnd"/>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0552AAFF" w14:textId="77777777" w:rsidR="00227667" w:rsidRDefault="00000000">
            <w:pPr>
              <w:jc w:val="center"/>
            </w:pPr>
            <w:r>
              <w:rPr>
                <w:b/>
                <w:bCs/>
                <w:color w:val="FFFFFF"/>
                <w:sz w:val="18"/>
                <w:szCs w:val="18"/>
              </w:rPr>
              <w:t>Bear</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4F769CAD" w14:textId="77777777" w:rsidR="00227667" w:rsidRDefault="00000000">
            <w:pPr>
              <w:jc w:val="center"/>
            </w:pPr>
            <w:r>
              <w:rPr>
                <w:b/>
                <w:bCs/>
                <w:color w:val="FFFFFF"/>
                <w:sz w:val="18"/>
                <w:szCs w:val="18"/>
              </w:rPr>
              <w:t>Base</w:t>
            </w:r>
          </w:p>
        </w:tc>
        <w:tc>
          <w:tcPr>
            <w:tcW w:w="2438"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146580DA" w14:textId="77777777" w:rsidR="00227667" w:rsidRDefault="00000000">
            <w:pPr>
              <w:jc w:val="center"/>
            </w:pPr>
            <w:r>
              <w:rPr>
                <w:b/>
                <w:bCs/>
                <w:color w:val="FFFFFF"/>
                <w:sz w:val="18"/>
                <w:szCs w:val="18"/>
              </w:rPr>
              <w:t>Bull</w:t>
            </w:r>
          </w:p>
        </w:tc>
      </w:tr>
      <w:tr w:rsidR="00227667" w14:paraId="4AAC18A0"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3B666" w14:textId="77777777" w:rsidR="00227667" w:rsidRDefault="00000000">
            <w:r>
              <w:rPr>
                <w:sz w:val="18"/>
                <w:szCs w:val="18"/>
              </w:rPr>
              <w:t xml:space="preserve">DCF (WACC </w:t>
            </w:r>
            <w:proofErr w:type="spellStart"/>
            <w:r>
              <w:rPr>
                <w:sz w:val="18"/>
                <w:szCs w:val="18"/>
              </w:rPr>
              <w:t>scénarisé</w:t>
            </w:r>
            <w:proofErr w:type="spellEnd"/>
            <w:r>
              <w:rPr>
                <w:sz w:val="18"/>
                <w:szCs w:val="18"/>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292F5D" w14:textId="77777777" w:rsidR="00227667" w:rsidRDefault="00000000">
            <w:pPr>
              <w:jc w:val="right"/>
            </w:pPr>
            <w:r>
              <w:rPr>
                <w:sz w:val="18"/>
                <w:szCs w:val="18"/>
              </w:rPr>
              <w:t>17 857 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0AC121" w14:textId="77777777" w:rsidR="00227667" w:rsidRDefault="00000000">
            <w:pPr>
              <w:jc w:val="right"/>
            </w:pPr>
            <w:r>
              <w:rPr>
                <w:sz w:val="18"/>
                <w:szCs w:val="18"/>
              </w:rPr>
              <w:t>26 457 M€</w:t>
            </w:r>
          </w:p>
        </w:tc>
        <w:tc>
          <w:tcPr>
            <w:tcW w:w="24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9FC742" w14:textId="77777777" w:rsidR="00227667" w:rsidRDefault="00000000">
            <w:pPr>
              <w:jc w:val="right"/>
            </w:pPr>
            <w:r>
              <w:rPr>
                <w:sz w:val="18"/>
                <w:szCs w:val="18"/>
              </w:rPr>
              <w:t>35 567 M€</w:t>
            </w:r>
          </w:p>
        </w:tc>
      </w:tr>
      <w:tr w:rsidR="00227667" w14:paraId="1070BFE8"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9904F" w14:textId="6E82516F" w:rsidR="00227667" w:rsidRPr="00897C47" w:rsidRDefault="00000000">
            <w:pPr>
              <w:rPr>
                <w:lang w:val="fr-FR"/>
              </w:rPr>
            </w:pPr>
            <w:r w:rsidRPr="00897C47">
              <w:rPr>
                <w:sz w:val="18"/>
                <w:szCs w:val="18"/>
                <w:lang w:val="fr-FR"/>
              </w:rPr>
              <w:t xml:space="preserve">Multiples (EV/EBITDA </w:t>
            </w:r>
            <w:r w:rsidR="003011B1">
              <w:rPr>
                <w:sz w:val="18"/>
                <w:szCs w:val="18"/>
                <w:lang w:val="fr-FR"/>
              </w:rPr>
              <w:t>-</w:t>
            </w:r>
            <w:r w:rsidRPr="00897C47">
              <w:rPr>
                <w:sz w:val="18"/>
                <w:szCs w:val="18"/>
                <w:lang w:val="fr-FR"/>
              </w:rPr>
              <w:t xml:space="preserve"> Q1 à Q3)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20CE8" w14:textId="77777777" w:rsidR="00227667" w:rsidRDefault="00000000">
            <w:pPr>
              <w:jc w:val="right"/>
            </w:pPr>
            <w:r>
              <w:rPr>
                <w:sz w:val="18"/>
                <w:szCs w:val="18"/>
              </w:rPr>
              <w:t>28 991 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5CA76" w14:textId="77777777" w:rsidR="00227667" w:rsidRDefault="00000000">
            <w:pPr>
              <w:jc w:val="right"/>
            </w:pPr>
            <w:r>
              <w:rPr>
                <w:sz w:val="18"/>
                <w:szCs w:val="18"/>
              </w:rPr>
              <w:t>30 333 M€</w:t>
            </w:r>
          </w:p>
        </w:tc>
        <w:tc>
          <w:tcPr>
            <w:tcW w:w="2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51B2F" w14:textId="77777777" w:rsidR="00227667" w:rsidRDefault="00000000">
            <w:pPr>
              <w:jc w:val="right"/>
            </w:pPr>
            <w:r>
              <w:rPr>
                <w:sz w:val="18"/>
                <w:szCs w:val="18"/>
              </w:rPr>
              <w:t>40 341 M€</w:t>
            </w:r>
          </w:p>
        </w:tc>
      </w:tr>
      <w:tr w:rsidR="00227667" w14:paraId="4CC82DAB" w14:textId="77777777">
        <w:tc>
          <w:tcPr>
            <w:tcW w:w="3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07ED4FD" w14:textId="77777777" w:rsidR="00227667" w:rsidRPr="00897C47" w:rsidRDefault="00000000">
            <w:pPr>
              <w:rPr>
                <w:lang w:val="fr-FR"/>
              </w:rPr>
            </w:pPr>
            <w:r w:rsidRPr="00897C47">
              <w:rPr>
                <w:b/>
                <w:bCs/>
                <w:sz w:val="18"/>
                <w:szCs w:val="18"/>
                <w:lang w:val="fr-FR"/>
              </w:rPr>
              <w:t>EV retenue (moyenne DCF + Multiples)</w:t>
            </w:r>
          </w:p>
        </w:tc>
        <w:tc>
          <w:tcPr>
            <w:tcW w:w="1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CBDC01C" w14:textId="77777777" w:rsidR="00227667" w:rsidRDefault="00000000">
            <w:pPr>
              <w:jc w:val="right"/>
            </w:pPr>
            <w:r>
              <w:rPr>
                <w:b/>
                <w:bCs/>
                <w:sz w:val="18"/>
                <w:szCs w:val="18"/>
              </w:rPr>
              <w:t>24 095 M€</w:t>
            </w:r>
          </w:p>
        </w:tc>
        <w:tc>
          <w:tcPr>
            <w:tcW w:w="1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67FAF9E" w14:textId="77777777" w:rsidR="00227667" w:rsidRDefault="00000000">
            <w:pPr>
              <w:jc w:val="right"/>
            </w:pPr>
            <w:r>
              <w:rPr>
                <w:b/>
                <w:bCs/>
                <w:sz w:val="18"/>
                <w:szCs w:val="18"/>
              </w:rPr>
              <w:t>28 395 M€</w:t>
            </w:r>
          </w:p>
        </w:tc>
        <w:tc>
          <w:tcPr>
            <w:tcW w:w="2438"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B80F1C6" w14:textId="77777777" w:rsidR="00227667" w:rsidRDefault="00000000">
            <w:pPr>
              <w:jc w:val="right"/>
            </w:pPr>
            <w:r>
              <w:rPr>
                <w:b/>
                <w:bCs/>
                <w:sz w:val="18"/>
                <w:szCs w:val="18"/>
              </w:rPr>
              <w:t>32 950 M€</w:t>
            </w:r>
          </w:p>
        </w:tc>
      </w:tr>
      <w:tr w:rsidR="00227667" w14:paraId="3BED8389" w14:textId="77777777">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8CD2F6" w14:textId="77777777" w:rsidR="00227667" w:rsidRDefault="00000000">
            <w:proofErr w:type="spellStart"/>
            <w:r>
              <w:rPr>
                <w:sz w:val="18"/>
                <w:szCs w:val="18"/>
              </w:rPr>
              <w:t>Offre</w:t>
            </w:r>
            <w:proofErr w:type="spellEnd"/>
            <w:r>
              <w:rPr>
                <w:sz w:val="18"/>
                <w:szCs w:val="18"/>
              </w:rPr>
              <w:t xml:space="preserve"> consortium (</w:t>
            </w:r>
            <w:proofErr w:type="spellStart"/>
            <w:r>
              <w:rPr>
                <w:sz w:val="18"/>
                <w:szCs w:val="18"/>
              </w:rPr>
              <w:t>jan.</w:t>
            </w:r>
            <w:proofErr w:type="spellEnd"/>
            <w:r>
              <w:rPr>
                <w:sz w:val="18"/>
                <w:szCs w:val="18"/>
              </w:rPr>
              <w:t xml:space="preserve"> 2026)</w:t>
            </w:r>
          </w:p>
        </w:tc>
        <w:tc>
          <w:tcPr>
            <w:tcW w:w="1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85F90A" w14:textId="77777777" w:rsidR="00227667" w:rsidRDefault="00000000">
            <w:pPr>
              <w:jc w:val="right"/>
            </w:pPr>
            <w:r>
              <w:rPr>
                <w:sz w:val="18"/>
                <w:szCs w:val="18"/>
              </w:rPr>
              <w:t>20 000 M€</w:t>
            </w:r>
          </w:p>
        </w:tc>
        <w:tc>
          <w:tcPr>
            <w:tcW w:w="1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AFCE05" w14:textId="77777777" w:rsidR="00227667" w:rsidRDefault="00000000">
            <w:pPr>
              <w:jc w:val="right"/>
            </w:pPr>
            <w:r>
              <w:rPr>
                <w:sz w:val="18"/>
                <w:szCs w:val="18"/>
              </w:rPr>
              <w:t>20 000 M€</w:t>
            </w:r>
          </w:p>
        </w:tc>
        <w:tc>
          <w:tcPr>
            <w:tcW w:w="243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7F8A67" w14:textId="77777777" w:rsidR="00227667" w:rsidRDefault="00000000">
            <w:pPr>
              <w:jc w:val="right"/>
            </w:pPr>
            <w:r>
              <w:rPr>
                <w:sz w:val="18"/>
                <w:szCs w:val="18"/>
              </w:rPr>
              <w:t>20 000 M€</w:t>
            </w:r>
          </w:p>
        </w:tc>
      </w:tr>
      <w:tr w:rsidR="00227667" w14:paraId="7D3566CA"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DBEAC0" w14:textId="77777777" w:rsidR="00227667" w:rsidRPr="00897C47" w:rsidRDefault="00000000">
            <w:pPr>
              <w:rPr>
                <w:lang w:val="fr-FR"/>
              </w:rPr>
            </w:pPr>
            <w:r w:rsidRPr="00897C47">
              <w:rPr>
                <w:sz w:val="18"/>
                <w:szCs w:val="18"/>
                <w:lang w:val="fr-FR"/>
              </w:rPr>
              <w:t>Seuil de veto des créanciers (7× EBITDA)</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C98246" w14:textId="77777777" w:rsidR="00227667" w:rsidRDefault="00000000">
            <w:pPr>
              <w:jc w:val="right"/>
            </w:pPr>
            <w:r>
              <w:rPr>
                <w:sz w:val="18"/>
                <w:szCs w:val="18"/>
              </w:rPr>
              <w:t>23 003 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76596" w14:textId="77777777" w:rsidR="00227667" w:rsidRDefault="00000000">
            <w:pPr>
              <w:jc w:val="right"/>
            </w:pPr>
            <w:r>
              <w:rPr>
                <w:sz w:val="18"/>
                <w:szCs w:val="18"/>
              </w:rPr>
              <w:t>23 003 M€</w:t>
            </w:r>
          </w:p>
        </w:tc>
        <w:tc>
          <w:tcPr>
            <w:tcW w:w="24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210123" w14:textId="77777777" w:rsidR="00227667" w:rsidRDefault="00000000">
            <w:pPr>
              <w:jc w:val="right"/>
            </w:pPr>
            <w:r>
              <w:rPr>
                <w:sz w:val="18"/>
                <w:szCs w:val="18"/>
              </w:rPr>
              <w:t>23 003 M€</w:t>
            </w:r>
          </w:p>
        </w:tc>
      </w:tr>
    </w:tbl>
    <w:p w14:paraId="04B553BD" w14:textId="77777777" w:rsidR="00227667" w:rsidRDefault="00227667">
      <w:pPr>
        <w:spacing w:after="80"/>
      </w:pPr>
    </w:p>
    <w:p w14:paraId="3B5A32FB" w14:textId="77777777" w:rsidR="00227667" w:rsidRPr="00897C47" w:rsidRDefault="00000000">
      <w:pPr>
        <w:spacing w:after="120"/>
        <w:jc w:val="both"/>
        <w:rPr>
          <w:lang w:val="fr-FR"/>
        </w:rPr>
      </w:pPr>
      <w:r w:rsidRPr="00897C47">
        <w:rPr>
          <w:i/>
          <w:iCs/>
          <w:color w:val="555555"/>
          <w:lang w:val="fr-FR"/>
        </w:rPr>
        <w:t>Lecture : L'EV retenue correspond à la moyenne arithmétique du DCF et des multiples comparables. Elle constitue notre fourchette centrale de négociation. L'offre du consortium à 20 Md€ se situe en-dessous de l'EV retenue dans les scénarios Base et Bull, mais au-dessus dans le scénario Bear. Source : modèle financier propriétaire établi sur la base des comptes consolidés IFRS Altice France 2022–2024.</w:t>
      </w:r>
    </w:p>
    <w:p w14:paraId="0E629F4D" w14:textId="77777777" w:rsidR="00227667" w:rsidRPr="00897C47" w:rsidRDefault="00227667">
      <w:pPr>
        <w:spacing w:after="120"/>
        <w:rPr>
          <w:lang w:val="fr-FR"/>
        </w:rPr>
      </w:pPr>
    </w:p>
    <w:p w14:paraId="788617D3" w14:textId="77777777" w:rsidR="00227667" w:rsidRPr="00897C47" w:rsidRDefault="00000000">
      <w:pPr>
        <w:pStyle w:val="Heading3"/>
        <w:pBdr>
          <w:bottom w:val="single" w:sz="4" w:space="0" w:color="4472C4"/>
        </w:pBdr>
        <w:rPr>
          <w:lang w:val="fr-FR"/>
        </w:rPr>
      </w:pPr>
      <w:r w:rsidRPr="00897C47">
        <w:rPr>
          <w:lang w:val="fr-FR"/>
        </w:rPr>
        <w:t>1.3 Principaux drivers de valeur et risques</w:t>
      </w:r>
    </w:p>
    <w:p w14:paraId="4B4CE519" w14:textId="10C91DF5" w:rsidR="00227667" w:rsidRPr="00897C47" w:rsidRDefault="00000000">
      <w:pPr>
        <w:spacing w:after="120"/>
        <w:jc w:val="both"/>
        <w:rPr>
          <w:lang w:val="fr-FR"/>
        </w:rPr>
      </w:pPr>
      <w:r w:rsidRPr="00897C47">
        <w:rPr>
          <w:lang w:val="fr-FR"/>
        </w:rPr>
        <w:t>La valeur de SFR repose sur trois piliers fondamentaux. En premier lieu, le groupe opère un réseau fixe et mobile d'envergure nationale avec une base de plus de 25 millions de clients, une infrastructure difficile à reproduire et des licences spectrales à haute valeur. En second lieu, l'EBITDA annuel normalisé de 3,4 milliards d'euros génère un flux de cash opérationnel récurrent (</w:t>
      </w:r>
      <w:proofErr w:type="spellStart"/>
      <w:r w:rsidRPr="00897C47">
        <w:rPr>
          <w:lang w:val="fr-FR"/>
        </w:rPr>
        <w:t>OpFCF</w:t>
      </w:r>
      <w:proofErr w:type="spellEnd"/>
      <w:r w:rsidRPr="00897C47">
        <w:rPr>
          <w:lang w:val="fr-FR"/>
        </w:rPr>
        <w:t xml:space="preserve"> de 1,3 milliard d'euros en 2024) qui, dans un scénario de redressement, peut constituer la base d'un retour à une création de valeur durable. Enfin, les synergies potentielles liées au démantèlement de SFR entre les </w:t>
      </w:r>
      <w:r w:rsidR="00897C47" w:rsidRPr="00897C47">
        <w:rPr>
          <w:lang w:val="fr-FR"/>
        </w:rPr>
        <w:t>trois acquéreurs estimés</w:t>
      </w:r>
      <w:r w:rsidRPr="00897C47">
        <w:rPr>
          <w:lang w:val="fr-FR"/>
        </w:rPr>
        <w:t xml:space="preserve"> dans la littérature à 1 à 3 milliards d'euros en valeur actualisée constituent le véritable moteur stratégique de l'opération, bien que non modélisées dans la présente note.</w:t>
      </w:r>
    </w:p>
    <w:p w14:paraId="5FFDDC34" w14:textId="77777777" w:rsidR="00227667" w:rsidRPr="00897C47" w:rsidRDefault="00000000">
      <w:pPr>
        <w:spacing w:after="120"/>
        <w:jc w:val="both"/>
        <w:rPr>
          <w:lang w:val="fr-FR"/>
        </w:rPr>
      </w:pPr>
      <w:r w:rsidRPr="00897C47">
        <w:rPr>
          <w:lang w:val="fr-FR"/>
        </w:rPr>
        <w:t>En revanche, plusieurs risques majeurs encadrent la transaction : la poursuite probable de l'attrition commerciale en l'absence de redressement opérationnel tangible, le risque antitrust lié à la réduction du marché de quatre à trois opérateurs, la complexité de l'intégration post-</w:t>
      </w:r>
      <w:proofErr w:type="spellStart"/>
      <w:r w:rsidRPr="00897C47">
        <w:rPr>
          <w:lang w:val="fr-FR"/>
        </w:rPr>
        <w:t>closing</w:t>
      </w:r>
      <w:proofErr w:type="spellEnd"/>
      <w:r w:rsidRPr="00897C47">
        <w:rPr>
          <w:lang w:val="fr-FR"/>
        </w:rPr>
        <w:t>, et l'écart substantiel entre l'offre actuelle et les attentes de Patrick Drahi.</w:t>
      </w:r>
    </w:p>
    <w:p w14:paraId="28F594DA" w14:textId="77777777" w:rsidR="00227667" w:rsidRPr="00897C47" w:rsidRDefault="00000000">
      <w:pPr>
        <w:rPr>
          <w:lang w:val="fr-FR"/>
        </w:rPr>
      </w:pPr>
      <w:r w:rsidRPr="00897C47">
        <w:rPr>
          <w:lang w:val="fr-FR"/>
        </w:rPr>
        <w:br w:type="page"/>
      </w:r>
    </w:p>
    <w:p w14:paraId="705C407D" w14:textId="77777777" w:rsidR="00227667" w:rsidRPr="00897C47" w:rsidRDefault="00000000">
      <w:pPr>
        <w:pStyle w:val="Heading1"/>
        <w:shd w:val="clear" w:color="auto" w:fill="1F3864"/>
        <w:ind w:left="200"/>
        <w:rPr>
          <w:lang w:val="fr-FR"/>
        </w:rPr>
      </w:pPr>
      <w:r w:rsidRPr="00897C47">
        <w:rPr>
          <w:lang w:val="fr-FR"/>
        </w:rPr>
        <w:lastRenderedPageBreak/>
        <w:t>2. Présentation de l'entreprise</w:t>
      </w:r>
    </w:p>
    <w:p w14:paraId="1E22FEB0" w14:textId="77777777" w:rsidR="00227667" w:rsidRPr="00897C47" w:rsidRDefault="00227667">
      <w:pPr>
        <w:spacing w:after="80"/>
        <w:rPr>
          <w:lang w:val="fr-FR"/>
        </w:rPr>
      </w:pPr>
    </w:p>
    <w:p w14:paraId="3F916268" w14:textId="77777777" w:rsidR="00227667" w:rsidRPr="00897C47" w:rsidRDefault="00000000">
      <w:pPr>
        <w:pStyle w:val="Heading3"/>
        <w:pBdr>
          <w:bottom w:val="single" w:sz="4" w:space="0" w:color="4472C4"/>
        </w:pBdr>
        <w:rPr>
          <w:lang w:val="fr-FR"/>
        </w:rPr>
      </w:pPr>
      <w:r w:rsidRPr="00897C47">
        <w:rPr>
          <w:lang w:val="fr-FR"/>
        </w:rPr>
        <w:t>2.1 Historique et actionnariat</w:t>
      </w:r>
    </w:p>
    <w:p w14:paraId="4778F9A9" w14:textId="7C14517B" w:rsidR="00227667" w:rsidRPr="00897C47" w:rsidRDefault="00000000">
      <w:pPr>
        <w:spacing w:after="120"/>
        <w:jc w:val="both"/>
        <w:rPr>
          <w:lang w:val="fr-FR"/>
        </w:rPr>
      </w:pPr>
      <w:r w:rsidRPr="00897C47">
        <w:rPr>
          <w:lang w:val="fr-FR"/>
        </w:rPr>
        <w:t>SFR</w:t>
      </w:r>
      <w:r w:rsidR="00897C47">
        <w:rPr>
          <w:lang w:val="fr-FR"/>
        </w:rPr>
        <w:t>,</w:t>
      </w:r>
      <w:r w:rsidRPr="00897C47">
        <w:rPr>
          <w:lang w:val="fr-FR"/>
        </w:rPr>
        <w:t xml:space="preserve"> </w:t>
      </w:r>
      <w:r w:rsidR="00897C47">
        <w:rPr>
          <w:lang w:val="fr-FR"/>
        </w:rPr>
        <w:t>s</w:t>
      </w:r>
      <w:r w:rsidRPr="00897C47">
        <w:rPr>
          <w:lang w:val="fr-FR"/>
        </w:rPr>
        <w:t>ociété Française du Radiotéléphone est l'un des quatre opérateurs de réseau mobile en France et le deuxième acteur du marché télécom français. Fondée en 1987, l'entreprise a connu plusieurs changements d'actionnariat avant d'être rachetée en 2014 par le groupe Altice de Patrick Drahi pour 17 milliards d'euros, à l'époque une transaction qualifiée d'audacieuse compte tenu du levier financier utilisé. Depuis lors, l'entreprise est la principale filiale d'Altice France SA, elle-même intégrée dans la structure holding du groupe Altice.</w:t>
      </w:r>
    </w:p>
    <w:p w14:paraId="070EA5FC" w14:textId="77777777" w:rsidR="00227667" w:rsidRPr="00897C47" w:rsidRDefault="00000000">
      <w:pPr>
        <w:spacing w:after="120"/>
        <w:jc w:val="both"/>
        <w:rPr>
          <w:lang w:val="fr-FR"/>
        </w:rPr>
      </w:pPr>
      <w:r w:rsidRPr="00897C47">
        <w:rPr>
          <w:lang w:val="fr-FR"/>
        </w:rPr>
        <w:t xml:space="preserve">À la suite de la restructuration financière d'octobre 2025, l'actionnariat d'Altice France est réparti entre Patrick Drahi (55 %) et un pool de créanciers institutionnels, dont </w:t>
      </w:r>
      <w:proofErr w:type="spellStart"/>
      <w:r w:rsidRPr="00897C47">
        <w:rPr>
          <w:lang w:val="fr-FR"/>
        </w:rPr>
        <w:t>BlackRock</w:t>
      </w:r>
      <w:proofErr w:type="spellEnd"/>
      <w:r w:rsidRPr="00897C47">
        <w:rPr>
          <w:lang w:val="fr-FR"/>
        </w:rPr>
        <w:t xml:space="preserve">, </w:t>
      </w:r>
      <w:proofErr w:type="spellStart"/>
      <w:r w:rsidRPr="00897C47">
        <w:rPr>
          <w:lang w:val="fr-FR"/>
        </w:rPr>
        <w:t>Pimco</w:t>
      </w:r>
      <w:proofErr w:type="spellEnd"/>
      <w:r w:rsidRPr="00897C47">
        <w:rPr>
          <w:lang w:val="fr-FR"/>
        </w:rPr>
        <w:t xml:space="preserve"> et </w:t>
      </w:r>
      <w:proofErr w:type="spellStart"/>
      <w:r w:rsidRPr="00897C47">
        <w:rPr>
          <w:lang w:val="fr-FR"/>
        </w:rPr>
        <w:t>Fidelity</w:t>
      </w:r>
      <w:proofErr w:type="spellEnd"/>
      <w:r w:rsidRPr="00897C47">
        <w:rPr>
          <w:lang w:val="fr-FR"/>
        </w:rPr>
        <w:t>, qui détiennent collectivement 45 % du capital et disposent d'un droit de veto sur toute cession en-dessous de 7 fois l'EBITDA, soit un seuil de 23 milliards d'euros.</w:t>
      </w:r>
    </w:p>
    <w:p w14:paraId="58026300" w14:textId="77777777" w:rsidR="00227667" w:rsidRPr="00897C47" w:rsidRDefault="00227667">
      <w:pPr>
        <w:spacing w:after="80"/>
        <w:rPr>
          <w:lang w:val="fr-FR"/>
        </w:rPr>
      </w:pPr>
    </w:p>
    <w:p w14:paraId="6E9CE884" w14:textId="77777777" w:rsidR="00227667" w:rsidRPr="00897C47" w:rsidRDefault="00000000">
      <w:pPr>
        <w:pStyle w:val="Heading3"/>
        <w:pBdr>
          <w:bottom w:val="single" w:sz="4" w:space="0" w:color="4472C4"/>
        </w:pBdr>
        <w:rPr>
          <w:lang w:val="fr-FR"/>
        </w:rPr>
      </w:pPr>
      <w:r w:rsidRPr="00897C47">
        <w:rPr>
          <w:lang w:val="fr-FR"/>
        </w:rPr>
        <w:t>2.2 Activité et segmentation</w:t>
      </w:r>
    </w:p>
    <w:p w14:paraId="1490F0EA" w14:textId="77777777" w:rsidR="00227667" w:rsidRPr="00897C47" w:rsidRDefault="00000000">
      <w:pPr>
        <w:spacing w:after="120"/>
        <w:jc w:val="both"/>
        <w:rPr>
          <w:lang w:val="fr-FR"/>
        </w:rPr>
      </w:pPr>
      <w:r w:rsidRPr="00897C47">
        <w:rPr>
          <w:lang w:val="fr-FR"/>
        </w:rPr>
        <w:t>SFR articule son activité autour de trois segments principaux. Le segment Résidentiel constitue le cœur de l'activité, avec des revenus de 6,3 milliards d'euros en 2024 combinant les offres fixes (ADSL, fibre, box TV) et mobiles grand public commercialisées sous les marques SFR et RED by SFR. Le segment B2B et Services Entreprises, qui représente 2,98 milliards d'euros de revenus en 2024, adresse les entreprises, collectivités et opérateurs tiers à travers des offres de téléphonie, connectivité et hébergement. Enfin, les Ventes d'équipements (904 millions d'euros en 2024) comprennent la commercialisation de terminaux mobiles et de box auprès des clients B2C et B2B. Le segment Médias (BFMTV, RMC) a été cédé à CMA-CGM en juillet 2024 pour 1,57 milliard d'euros, marquant le recentrage stratégique d'Altice sur son cœur télécom.</w:t>
      </w:r>
    </w:p>
    <w:p w14:paraId="1776F649" w14:textId="77777777" w:rsidR="00227667" w:rsidRPr="00897C47" w:rsidRDefault="00227667">
      <w:pPr>
        <w:spacing w:after="80"/>
        <w:rPr>
          <w:lang w:val="fr-FR"/>
        </w:rPr>
      </w:pPr>
    </w:p>
    <w:p w14:paraId="49D3079D" w14:textId="77777777" w:rsidR="00227667" w:rsidRPr="00897C47" w:rsidRDefault="00000000">
      <w:pPr>
        <w:pStyle w:val="Heading3"/>
        <w:pBdr>
          <w:bottom w:val="single" w:sz="4" w:space="0" w:color="4472C4"/>
        </w:pBdr>
        <w:rPr>
          <w:lang w:val="fr-FR"/>
        </w:rPr>
      </w:pPr>
      <w:r w:rsidRPr="00897C47">
        <w:rPr>
          <w:lang w:val="fr-FR"/>
        </w:rPr>
        <w:t>2.3 Positionnement concurrentiel</w:t>
      </w:r>
    </w:p>
    <w:p w14:paraId="3FD7FB9C" w14:textId="77777777" w:rsidR="00227667" w:rsidRPr="00897C47" w:rsidRDefault="00000000">
      <w:pPr>
        <w:spacing w:after="120"/>
        <w:jc w:val="both"/>
        <w:rPr>
          <w:lang w:val="fr-FR"/>
        </w:rPr>
      </w:pPr>
      <w:r w:rsidRPr="00897C47">
        <w:rPr>
          <w:lang w:val="fr-FR"/>
        </w:rPr>
        <w:t xml:space="preserve">SFR occupe la deuxième position sur le marché télécom français avec une part de marché mobile estimée à 24 % en 2024, derrière Orange (leader) et devant Free et Bouygues Telecom. Le groupe dispose d'une infrastructure réseau mobile 4G/5G et d'un réseau fixe fibre optique déployé en propre et via sa participation dans </w:t>
      </w:r>
      <w:proofErr w:type="spellStart"/>
      <w:r w:rsidRPr="00897C47">
        <w:rPr>
          <w:lang w:val="fr-FR"/>
        </w:rPr>
        <w:t>XpFibre</w:t>
      </w:r>
      <w:proofErr w:type="spellEnd"/>
      <w:r w:rsidRPr="00897C47">
        <w:rPr>
          <w:lang w:val="fr-FR"/>
        </w:rPr>
        <w:t xml:space="preserve"> (cédée partiellement en 2024). Sa couverture nationale et la profondeur de ses gammes d'offres lui confèrent une position défendable, mais fragilisée par plusieurs années de sous-investissement relatif et de pertes d'abonnés au profit de Free et Bouygues Telecom, qui ont su proposer des offres plus agressives en termes de rapport qualité-prix.</w:t>
      </w:r>
    </w:p>
    <w:p w14:paraId="5BDC66E3" w14:textId="77777777" w:rsidR="00227667" w:rsidRPr="00897C47" w:rsidRDefault="00000000">
      <w:pPr>
        <w:rPr>
          <w:lang w:val="fr-FR"/>
        </w:rPr>
      </w:pPr>
      <w:r w:rsidRPr="00897C47">
        <w:rPr>
          <w:lang w:val="fr-FR"/>
        </w:rPr>
        <w:br w:type="page"/>
      </w:r>
    </w:p>
    <w:p w14:paraId="3163FCCA" w14:textId="77777777" w:rsidR="00227667" w:rsidRPr="00897C47" w:rsidRDefault="00000000">
      <w:pPr>
        <w:pStyle w:val="Heading1"/>
        <w:shd w:val="clear" w:color="auto" w:fill="1F3864"/>
        <w:ind w:left="200"/>
        <w:rPr>
          <w:lang w:val="fr-FR"/>
        </w:rPr>
      </w:pPr>
      <w:r w:rsidRPr="00897C47">
        <w:rPr>
          <w:lang w:val="fr-FR"/>
        </w:rPr>
        <w:lastRenderedPageBreak/>
        <w:t>3. Analyse sectorielle</w:t>
      </w:r>
    </w:p>
    <w:p w14:paraId="63E5A18E" w14:textId="77777777" w:rsidR="00227667" w:rsidRPr="00897C47" w:rsidRDefault="00227667">
      <w:pPr>
        <w:spacing w:after="80"/>
        <w:rPr>
          <w:lang w:val="fr-FR"/>
        </w:rPr>
      </w:pPr>
    </w:p>
    <w:p w14:paraId="7B73AC0F" w14:textId="77777777" w:rsidR="00227667" w:rsidRPr="00897C47" w:rsidRDefault="00000000">
      <w:pPr>
        <w:pStyle w:val="Heading3"/>
        <w:pBdr>
          <w:bottom w:val="single" w:sz="4" w:space="0" w:color="4472C4"/>
        </w:pBdr>
        <w:rPr>
          <w:lang w:val="fr-FR"/>
        </w:rPr>
      </w:pPr>
      <w:r w:rsidRPr="00897C47">
        <w:rPr>
          <w:lang w:val="fr-FR"/>
        </w:rPr>
        <w:t>3.1 Dynamiques du marché télécom français</w:t>
      </w:r>
    </w:p>
    <w:p w14:paraId="1F9CB5BC" w14:textId="33972723" w:rsidR="00227667" w:rsidRPr="00897C47" w:rsidRDefault="00000000">
      <w:pPr>
        <w:spacing w:after="120"/>
        <w:jc w:val="both"/>
        <w:rPr>
          <w:lang w:val="fr-FR"/>
        </w:rPr>
      </w:pPr>
      <w:r w:rsidRPr="00897C47">
        <w:rPr>
          <w:lang w:val="fr-FR"/>
        </w:rPr>
        <w:t>Le marché télécom français est l'un des plus concurrentiels d'Europe, structurellement marqué par l'entrée de Free Mobile en 2012, qui a déclenché une guerre des prix durable. Le marché compte quatre opérateurs nationaux Orange, SFR, Bouygues Telecom et Iliad et se caractérise par une pression tarifaire persistante sur le mobile, un investissement élevé dans la fibre optique, et des revenus de services mobiles qui peinent à retrouver leur niveau d'avant 2012. La France se distingue par un ARPU mobile parmi les plus bas d'Europe occidentale (autour de 14 à 15 euros par mois pour SFR en 2024), contre 18 à 22 euros en Allemagne ou au Royaume-Uni.</w:t>
      </w:r>
    </w:p>
    <w:p w14:paraId="59F4B18E" w14:textId="77777777" w:rsidR="00227667" w:rsidRPr="00897C47" w:rsidRDefault="00000000">
      <w:pPr>
        <w:spacing w:after="120"/>
        <w:jc w:val="both"/>
        <w:rPr>
          <w:lang w:val="fr-FR"/>
        </w:rPr>
      </w:pPr>
      <w:r w:rsidRPr="00897C47">
        <w:rPr>
          <w:lang w:val="fr-FR"/>
        </w:rPr>
        <w:t>Depuis 2022, le marché entre dans une phase de maturité sur le mobile, avec une pénétration dépassant 110 % de la population. La croissance se déplace vers le fixe haut débit, notamment la fibre optique, où l'État a fixé des objectifs ambitieux de couverture nationale dans le cadre du Plan France Très Haut Débit. La montée en puissance de la 5G, encore limitée en termes d'ARPU différentiel en 2024, représente un investissement structurant pour les prochaines années.</w:t>
      </w:r>
    </w:p>
    <w:p w14:paraId="1B4C80A3" w14:textId="77777777" w:rsidR="00227667" w:rsidRPr="00897C47" w:rsidRDefault="00227667">
      <w:pPr>
        <w:spacing w:after="80"/>
        <w:rPr>
          <w:lang w:val="fr-FR"/>
        </w:rPr>
      </w:pPr>
    </w:p>
    <w:p w14:paraId="60EF9DD7" w14:textId="77777777" w:rsidR="00227667" w:rsidRPr="00897C47" w:rsidRDefault="00000000">
      <w:pPr>
        <w:pStyle w:val="Heading3"/>
        <w:pBdr>
          <w:bottom w:val="single" w:sz="4" w:space="0" w:color="4472C4"/>
        </w:pBdr>
        <w:rPr>
          <w:lang w:val="fr-FR"/>
        </w:rPr>
      </w:pPr>
      <w:r w:rsidRPr="00897C47">
        <w:rPr>
          <w:lang w:val="fr-FR"/>
        </w:rPr>
        <w:t>3.2 Tendances structurelles et enjeux réglementaires</w:t>
      </w:r>
    </w:p>
    <w:p w14:paraId="63873CE3" w14:textId="4322E6F5" w:rsidR="00227667" w:rsidRPr="00897C47" w:rsidRDefault="00000000">
      <w:pPr>
        <w:spacing w:after="120"/>
        <w:jc w:val="both"/>
        <w:rPr>
          <w:lang w:val="fr-FR"/>
        </w:rPr>
      </w:pPr>
      <w:r w:rsidRPr="00897C47">
        <w:rPr>
          <w:lang w:val="fr-FR"/>
        </w:rPr>
        <w:t>Plusieurs tendances de fond façonnent l'industrie sur la période de projection 2025–2029. La convergence fixe-mobile demeure le principal levier de rétention et de monétisation, les opérateurs full-convergents (offres Quad-</w:t>
      </w:r>
      <w:proofErr w:type="spellStart"/>
      <w:r w:rsidRPr="00897C47">
        <w:rPr>
          <w:lang w:val="fr-FR"/>
        </w:rPr>
        <w:t>play</w:t>
      </w:r>
      <w:proofErr w:type="spellEnd"/>
      <w:r w:rsidRPr="00897C47">
        <w:rPr>
          <w:lang w:val="fr-FR"/>
        </w:rPr>
        <w:t xml:space="preserve">) affichant un </w:t>
      </w:r>
      <w:proofErr w:type="spellStart"/>
      <w:r w:rsidRPr="00897C47">
        <w:rPr>
          <w:lang w:val="fr-FR"/>
        </w:rPr>
        <w:t>churn</w:t>
      </w:r>
      <w:proofErr w:type="spellEnd"/>
      <w:r w:rsidRPr="00897C47">
        <w:rPr>
          <w:lang w:val="fr-FR"/>
        </w:rPr>
        <w:t xml:space="preserve"> structurellement plus faible. La digitalisation des parcours clients et la réduction des réseaux physiques</w:t>
      </w:r>
      <w:r w:rsidR="001B0DB2">
        <w:rPr>
          <w:lang w:val="fr-FR"/>
        </w:rPr>
        <w:t xml:space="preserve">, </w:t>
      </w:r>
      <w:r w:rsidRPr="00897C47">
        <w:rPr>
          <w:lang w:val="fr-FR"/>
        </w:rPr>
        <w:t>SFR prévoyait de fermer plus de 30 boutiques dès juillet 2025 permettent des économies de coûts mais fragilisent la relation client dans les segments moins digitaux. La régulation des fréquences 5G, avec un renouvellement des licences à anticiper, représente un engagement de capex significatif pour l'ensemble des acteurs.</w:t>
      </w:r>
    </w:p>
    <w:p w14:paraId="5637AD00" w14:textId="77777777" w:rsidR="00227667" w:rsidRPr="00897C47" w:rsidRDefault="00000000">
      <w:pPr>
        <w:spacing w:after="120"/>
        <w:jc w:val="both"/>
        <w:rPr>
          <w:lang w:val="fr-FR"/>
        </w:rPr>
      </w:pPr>
      <w:r w:rsidRPr="00897C47">
        <w:rPr>
          <w:lang w:val="fr-FR"/>
        </w:rPr>
        <w:t>Sur le plan de la consolidation sectorielle, le régulateur français (Autorité de la concurrence) a historiquement été réticent à laisser le marché passer de quatre à trois opérateurs, considérant que Free avait apporté une baisse des prix structurelle bénéfique aux consommateurs. La position du président de l'Autorité, qui a indiqué en 2025 qu'une décision avant fin 2026 est improbable, crée une incertitude calendaire significative sur la transaction.</w:t>
      </w:r>
    </w:p>
    <w:p w14:paraId="30F4BF5A" w14:textId="77777777" w:rsidR="00227667" w:rsidRPr="00897C47" w:rsidRDefault="00227667">
      <w:pPr>
        <w:spacing w:after="80"/>
        <w:rPr>
          <w:lang w:val="fr-FR"/>
        </w:rPr>
      </w:pPr>
    </w:p>
    <w:p w14:paraId="385DBE2E" w14:textId="77777777" w:rsidR="00227667" w:rsidRPr="00897C47" w:rsidRDefault="00000000">
      <w:pPr>
        <w:pStyle w:val="Heading3"/>
        <w:pBdr>
          <w:bottom w:val="single" w:sz="4" w:space="0" w:color="4472C4"/>
        </w:pBdr>
        <w:rPr>
          <w:lang w:val="fr-FR"/>
        </w:rPr>
      </w:pPr>
      <w:r w:rsidRPr="00897C47">
        <w:rPr>
          <w:lang w:val="fr-FR"/>
        </w:rPr>
        <w:t>3.3 Positionnement de SFR dans ce contexte</w:t>
      </w:r>
    </w:p>
    <w:p w14:paraId="7F55C66B" w14:textId="4935F20D" w:rsidR="00227667" w:rsidRPr="00897C47" w:rsidRDefault="00000000">
      <w:pPr>
        <w:spacing w:after="120"/>
        <w:jc w:val="both"/>
        <w:rPr>
          <w:lang w:val="fr-FR"/>
        </w:rPr>
      </w:pPr>
      <w:r w:rsidRPr="00897C47">
        <w:rPr>
          <w:lang w:val="fr-FR"/>
        </w:rPr>
        <w:t>SFR est le seul des quatre opérateurs à avoir affiché une trajectoire de perte d'abonnés continue sur 2022</w:t>
      </w:r>
      <w:r w:rsidR="00C67981">
        <w:rPr>
          <w:lang w:val="fr-FR"/>
        </w:rPr>
        <w:t>-</w:t>
      </w:r>
      <w:r w:rsidRPr="00897C47">
        <w:rPr>
          <w:lang w:val="fr-FR"/>
        </w:rPr>
        <w:t>2024 plus de 1,5 million d'abonnés mobiles perdus en deux ans dans un contexte où ses concurrents Orange, Free et Bouygues ont globalement stabilisé, voire fait croître leurs bases. Cette sous-performance commerciale reflète un déficit d'image lié aux difficultés financières du groupe et à des perturbations opérationnelles perceptibles, dont une panne nationale majeure en juin 2025. Le plan SFR Imagine, lancé fin 2024, vise un repositionnement tarifaire et qualitatif, mais sa mise en œuvre constituera un test crucial pour les hypothèses de redressement retenues dans le scénario Base.</w:t>
      </w:r>
    </w:p>
    <w:p w14:paraId="18AA03AA" w14:textId="77777777" w:rsidR="00227667" w:rsidRPr="00897C47" w:rsidRDefault="00000000">
      <w:pPr>
        <w:rPr>
          <w:lang w:val="fr-FR"/>
        </w:rPr>
      </w:pPr>
      <w:r w:rsidRPr="00897C47">
        <w:rPr>
          <w:lang w:val="fr-FR"/>
        </w:rPr>
        <w:br w:type="page"/>
      </w:r>
    </w:p>
    <w:p w14:paraId="4D5B4FEC" w14:textId="77777777" w:rsidR="00227667" w:rsidRPr="00897C47" w:rsidRDefault="00000000">
      <w:pPr>
        <w:pStyle w:val="Heading1"/>
        <w:shd w:val="clear" w:color="auto" w:fill="1F3864"/>
        <w:ind w:left="200"/>
        <w:rPr>
          <w:lang w:val="fr-FR"/>
        </w:rPr>
      </w:pPr>
      <w:r w:rsidRPr="00897C47">
        <w:rPr>
          <w:lang w:val="fr-FR"/>
        </w:rPr>
        <w:lastRenderedPageBreak/>
        <w:t>4. Analyse financière historique (2022–2024)</w:t>
      </w:r>
    </w:p>
    <w:p w14:paraId="4315EF4B" w14:textId="77777777" w:rsidR="00227667" w:rsidRPr="00897C47" w:rsidRDefault="00227667">
      <w:pPr>
        <w:spacing w:after="80"/>
        <w:rPr>
          <w:lang w:val="fr-FR"/>
        </w:rPr>
      </w:pPr>
    </w:p>
    <w:p w14:paraId="3B89F2ED" w14:textId="77777777" w:rsidR="00227667" w:rsidRDefault="00000000">
      <w:pPr>
        <w:spacing w:after="120"/>
        <w:jc w:val="both"/>
      </w:pPr>
      <w:r w:rsidRPr="00897C47">
        <w:rPr>
          <w:i/>
          <w:iCs/>
          <w:color w:val="555555"/>
          <w:lang w:val="fr-FR"/>
        </w:rPr>
        <w:t xml:space="preserve">Toutes les données ci-dessous sont issues des comptes consolidés IFRS audités d'Altice France SA. </w:t>
      </w:r>
      <w:r>
        <w:rPr>
          <w:i/>
          <w:iCs/>
          <w:color w:val="555555"/>
        </w:rPr>
        <w:t xml:space="preserve">Les </w:t>
      </w:r>
      <w:proofErr w:type="spellStart"/>
      <w:r>
        <w:rPr>
          <w:i/>
          <w:iCs/>
          <w:color w:val="555555"/>
        </w:rPr>
        <w:t>montants</w:t>
      </w:r>
      <w:proofErr w:type="spellEnd"/>
      <w:r>
        <w:rPr>
          <w:i/>
          <w:iCs/>
          <w:color w:val="555555"/>
        </w:rPr>
        <w:t xml:space="preserve"> </w:t>
      </w:r>
      <w:proofErr w:type="spellStart"/>
      <w:r>
        <w:rPr>
          <w:i/>
          <w:iCs/>
          <w:color w:val="555555"/>
        </w:rPr>
        <w:t>sont</w:t>
      </w:r>
      <w:proofErr w:type="spellEnd"/>
      <w:r>
        <w:rPr>
          <w:i/>
          <w:iCs/>
          <w:color w:val="555555"/>
        </w:rPr>
        <w:t xml:space="preserve"> </w:t>
      </w:r>
      <w:proofErr w:type="spellStart"/>
      <w:r>
        <w:rPr>
          <w:i/>
          <w:iCs/>
          <w:color w:val="555555"/>
        </w:rPr>
        <w:t>exprimés</w:t>
      </w:r>
      <w:proofErr w:type="spellEnd"/>
      <w:r>
        <w:rPr>
          <w:i/>
          <w:iCs/>
          <w:color w:val="555555"/>
        </w:rPr>
        <w:t xml:space="preserve"> </w:t>
      </w:r>
      <w:proofErr w:type="spellStart"/>
      <w:r>
        <w:rPr>
          <w:i/>
          <w:iCs/>
          <w:color w:val="555555"/>
        </w:rPr>
        <w:t>en</w:t>
      </w:r>
      <w:proofErr w:type="spellEnd"/>
      <w:r>
        <w:rPr>
          <w:i/>
          <w:iCs/>
          <w:color w:val="555555"/>
        </w:rPr>
        <w:t xml:space="preserve"> millions </w:t>
      </w:r>
      <w:proofErr w:type="spellStart"/>
      <w:r>
        <w:rPr>
          <w:i/>
          <w:iCs/>
          <w:color w:val="555555"/>
        </w:rPr>
        <w:t>d'euros</w:t>
      </w:r>
      <w:proofErr w:type="spellEnd"/>
      <w:r>
        <w:rPr>
          <w:i/>
          <w:iCs/>
          <w:color w:val="555555"/>
        </w:rPr>
        <w:t>.</w:t>
      </w:r>
    </w:p>
    <w:p w14:paraId="36395068" w14:textId="77777777" w:rsidR="00227667" w:rsidRDefault="00227667">
      <w:pPr>
        <w:spacing w:after="80"/>
      </w:pPr>
    </w:p>
    <w:p w14:paraId="4FCE653F" w14:textId="77777777" w:rsidR="00227667" w:rsidRDefault="00000000">
      <w:pPr>
        <w:pStyle w:val="Heading3"/>
        <w:pBdr>
          <w:bottom w:val="single" w:sz="4" w:space="0" w:color="4472C4"/>
        </w:pBdr>
      </w:pPr>
      <w:r>
        <w:t xml:space="preserve">4.1 </w:t>
      </w:r>
      <w:proofErr w:type="spellStart"/>
      <w:r>
        <w:t>Revenus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1984"/>
        <w:gridCol w:w="1843"/>
        <w:gridCol w:w="1843"/>
        <w:gridCol w:w="1275"/>
      </w:tblGrid>
      <w:tr w:rsidR="00227667" w14:paraId="03C1788F" w14:textId="77777777" w:rsidTr="00C67981">
        <w:tc>
          <w:tcPr>
            <w:tcW w:w="2693"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3C0EF5F5" w14:textId="77777777" w:rsidR="00227667" w:rsidRDefault="00000000">
            <w:pPr>
              <w:jc w:val="center"/>
            </w:pPr>
            <w:proofErr w:type="spellStart"/>
            <w:r>
              <w:rPr>
                <w:b/>
                <w:bCs/>
                <w:color w:val="FFFFFF"/>
                <w:sz w:val="18"/>
                <w:szCs w:val="18"/>
              </w:rPr>
              <w:t>Revenus</w:t>
            </w:r>
            <w:proofErr w:type="spellEnd"/>
            <w:r>
              <w:rPr>
                <w:b/>
                <w:bCs/>
                <w:color w:val="FFFFFF"/>
                <w:sz w:val="18"/>
                <w:szCs w:val="18"/>
              </w:rPr>
              <w:t xml:space="preserve"> (€m)</w:t>
            </w:r>
          </w:p>
        </w:tc>
        <w:tc>
          <w:tcPr>
            <w:tcW w:w="1984"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24FE8A34" w14:textId="77777777" w:rsidR="00227667" w:rsidRDefault="00000000">
            <w:pPr>
              <w:jc w:val="center"/>
            </w:pPr>
            <w:r>
              <w:rPr>
                <w:b/>
                <w:bCs/>
                <w:color w:val="FFFFFF"/>
                <w:sz w:val="18"/>
                <w:szCs w:val="18"/>
              </w:rPr>
              <w:t>2022</w:t>
            </w:r>
          </w:p>
        </w:tc>
        <w:tc>
          <w:tcPr>
            <w:tcW w:w="1843"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5408AA55" w14:textId="77777777" w:rsidR="00227667" w:rsidRDefault="00000000">
            <w:pPr>
              <w:jc w:val="center"/>
            </w:pPr>
            <w:r>
              <w:rPr>
                <w:b/>
                <w:bCs/>
                <w:color w:val="FFFFFF"/>
                <w:sz w:val="18"/>
                <w:szCs w:val="18"/>
              </w:rPr>
              <w:t>2023</w:t>
            </w:r>
          </w:p>
        </w:tc>
        <w:tc>
          <w:tcPr>
            <w:tcW w:w="1843"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6B7B569E" w14:textId="77777777" w:rsidR="00227667" w:rsidRDefault="00000000">
            <w:pPr>
              <w:jc w:val="center"/>
            </w:pPr>
            <w:r>
              <w:rPr>
                <w:b/>
                <w:bCs/>
                <w:color w:val="FFFFFF"/>
                <w:sz w:val="18"/>
                <w:szCs w:val="18"/>
              </w:rPr>
              <w:t>2024</w:t>
            </w:r>
          </w:p>
        </w:tc>
        <w:tc>
          <w:tcPr>
            <w:tcW w:w="1275"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75B6E022" w14:textId="77777777" w:rsidR="00227667" w:rsidRDefault="00000000">
            <w:pPr>
              <w:jc w:val="center"/>
            </w:pPr>
            <w:r>
              <w:rPr>
                <w:b/>
                <w:bCs/>
                <w:color w:val="FFFFFF"/>
                <w:sz w:val="18"/>
                <w:szCs w:val="18"/>
              </w:rPr>
              <w:t>Var. 22–24</w:t>
            </w:r>
          </w:p>
        </w:tc>
      </w:tr>
      <w:tr w:rsidR="00227667" w14:paraId="4DD78806" w14:textId="77777777" w:rsidTr="00C67981">
        <w:tc>
          <w:tcPr>
            <w:tcW w:w="26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AB156" w14:textId="77777777" w:rsidR="00227667" w:rsidRDefault="00000000">
            <w:proofErr w:type="spellStart"/>
            <w:r>
              <w:rPr>
                <w:sz w:val="18"/>
                <w:szCs w:val="18"/>
              </w:rPr>
              <w:t>Résidentiel</w:t>
            </w:r>
            <w:proofErr w:type="spellEnd"/>
            <w:r>
              <w:rPr>
                <w:sz w:val="18"/>
                <w:szCs w:val="18"/>
              </w:rPr>
              <w:t xml:space="preserve"> Fixe + Mobile</w:t>
            </w:r>
          </w:p>
        </w:tc>
        <w:tc>
          <w:tcPr>
            <w:tcW w:w="19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B1EA3C" w14:textId="77777777" w:rsidR="00227667" w:rsidRDefault="00000000">
            <w:pPr>
              <w:jc w:val="right"/>
            </w:pPr>
            <w:r>
              <w:rPr>
                <w:sz w:val="18"/>
                <w:szCs w:val="18"/>
              </w:rPr>
              <w:t>6 495</w:t>
            </w:r>
          </w:p>
        </w:tc>
        <w:tc>
          <w:tcPr>
            <w:tcW w:w="184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3F045" w14:textId="77777777" w:rsidR="00227667" w:rsidRDefault="00000000">
            <w:pPr>
              <w:jc w:val="right"/>
            </w:pPr>
            <w:r>
              <w:rPr>
                <w:sz w:val="18"/>
                <w:szCs w:val="18"/>
              </w:rPr>
              <w:t>6 374</w:t>
            </w:r>
          </w:p>
        </w:tc>
        <w:tc>
          <w:tcPr>
            <w:tcW w:w="184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D52CD5" w14:textId="77777777" w:rsidR="00227667" w:rsidRDefault="00000000">
            <w:pPr>
              <w:jc w:val="right"/>
            </w:pPr>
            <w:r>
              <w:rPr>
                <w:sz w:val="18"/>
                <w:szCs w:val="18"/>
              </w:rPr>
              <w:t>6 303</w:t>
            </w:r>
          </w:p>
        </w:tc>
        <w:tc>
          <w:tcPr>
            <w:tcW w:w="127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5AFD6" w14:textId="77777777" w:rsidR="00227667" w:rsidRDefault="00000000">
            <w:pPr>
              <w:jc w:val="right"/>
            </w:pPr>
            <w:r>
              <w:rPr>
                <w:sz w:val="18"/>
                <w:szCs w:val="18"/>
              </w:rPr>
              <w:t>−3,0 %</w:t>
            </w:r>
          </w:p>
        </w:tc>
      </w:tr>
      <w:tr w:rsidR="00227667" w14:paraId="38BD4B2A" w14:textId="77777777" w:rsidTr="00C67981">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1B94" w14:textId="77777777" w:rsidR="00227667" w:rsidRDefault="00000000">
            <w:r>
              <w:rPr>
                <w:sz w:val="18"/>
                <w:szCs w:val="18"/>
              </w:rPr>
              <w:t>B2B / Services Entreprises</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0EEF5" w14:textId="77777777" w:rsidR="00227667" w:rsidRDefault="00000000">
            <w:pPr>
              <w:jc w:val="right"/>
            </w:pPr>
            <w:r>
              <w:rPr>
                <w:sz w:val="18"/>
                <w:szCs w:val="18"/>
              </w:rPr>
              <w:t>3 444</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BFFF4" w14:textId="77777777" w:rsidR="00227667" w:rsidRDefault="00000000">
            <w:pPr>
              <w:jc w:val="right"/>
            </w:pPr>
            <w:r>
              <w:rPr>
                <w:sz w:val="18"/>
                <w:szCs w:val="18"/>
              </w:rPr>
              <w:t>3 425</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6EA0A" w14:textId="77777777" w:rsidR="00227667" w:rsidRDefault="00000000">
            <w:pPr>
              <w:jc w:val="right"/>
            </w:pPr>
            <w:r>
              <w:rPr>
                <w:sz w:val="18"/>
                <w:szCs w:val="18"/>
              </w:rPr>
              <w:t>2 976</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D5687" w14:textId="77777777" w:rsidR="00227667" w:rsidRDefault="00000000">
            <w:pPr>
              <w:jc w:val="right"/>
            </w:pPr>
            <w:r>
              <w:rPr>
                <w:sz w:val="18"/>
                <w:szCs w:val="18"/>
              </w:rPr>
              <w:t>−13,6 %</w:t>
            </w:r>
          </w:p>
        </w:tc>
      </w:tr>
      <w:tr w:rsidR="00227667" w14:paraId="2BB8707C" w14:textId="77777777" w:rsidTr="00C67981">
        <w:tc>
          <w:tcPr>
            <w:tcW w:w="26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F96718" w14:textId="77777777" w:rsidR="00227667" w:rsidRDefault="00000000">
            <w:r>
              <w:rPr>
                <w:sz w:val="18"/>
                <w:szCs w:val="18"/>
              </w:rPr>
              <w:t xml:space="preserve">Ventes </w:t>
            </w:r>
            <w:proofErr w:type="spellStart"/>
            <w:r>
              <w:rPr>
                <w:sz w:val="18"/>
                <w:szCs w:val="18"/>
              </w:rPr>
              <w:t>d'équipements</w:t>
            </w:r>
            <w:proofErr w:type="spellEnd"/>
          </w:p>
        </w:tc>
        <w:tc>
          <w:tcPr>
            <w:tcW w:w="19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F4DF96" w14:textId="77777777" w:rsidR="00227667" w:rsidRDefault="00000000">
            <w:pPr>
              <w:jc w:val="right"/>
            </w:pPr>
            <w:r>
              <w:rPr>
                <w:sz w:val="18"/>
                <w:szCs w:val="18"/>
              </w:rPr>
              <w:t>998</w:t>
            </w:r>
          </w:p>
        </w:tc>
        <w:tc>
          <w:tcPr>
            <w:tcW w:w="184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322520" w14:textId="77777777" w:rsidR="00227667" w:rsidRDefault="00000000">
            <w:pPr>
              <w:jc w:val="right"/>
            </w:pPr>
            <w:r>
              <w:rPr>
                <w:sz w:val="18"/>
                <w:szCs w:val="18"/>
              </w:rPr>
              <w:t>997</w:t>
            </w:r>
          </w:p>
        </w:tc>
        <w:tc>
          <w:tcPr>
            <w:tcW w:w="184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C74032" w14:textId="77777777" w:rsidR="00227667" w:rsidRDefault="00000000">
            <w:pPr>
              <w:jc w:val="right"/>
            </w:pPr>
            <w:r>
              <w:rPr>
                <w:sz w:val="18"/>
                <w:szCs w:val="18"/>
              </w:rPr>
              <w:t>904</w:t>
            </w:r>
          </w:p>
        </w:tc>
        <w:tc>
          <w:tcPr>
            <w:tcW w:w="127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F6BCDF" w14:textId="77777777" w:rsidR="00227667" w:rsidRDefault="00000000">
            <w:pPr>
              <w:jc w:val="right"/>
            </w:pPr>
            <w:r>
              <w:rPr>
                <w:sz w:val="18"/>
                <w:szCs w:val="18"/>
              </w:rPr>
              <w:t>−9,4 %</w:t>
            </w:r>
          </w:p>
        </w:tc>
      </w:tr>
      <w:tr w:rsidR="00227667" w14:paraId="2CCAEAAE" w14:textId="77777777" w:rsidTr="00C67981">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004BC" w14:textId="77777777" w:rsidR="00227667" w:rsidRDefault="00000000">
            <w:proofErr w:type="spellStart"/>
            <w:r>
              <w:rPr>
                <w:sz w:val="18"/>
                <w:szCs w:val="18"/>
              </w:rPr>
              <w:t>Médias</w:t>
            </w:r>
            <w:proofErr w:type="spellEnd"/>
            <w:r>
              <w:rPr>
                <w:sz w:val="18"/>
                <w:szCs w:val="18"/>
              </w:rPr>
              <w:t xml:space="preserve"> (</w:t>
            </w:r>
            <w:proofErr w:type="spellStart"/>
            <w:r>
              <w:rPr>
                <w:sz w:val="18"/>
                <w:szCs w:val="18"/>
              </w:rPr>
              <w:t>cédé</w:t>
            </w:r>
            <w:proofErr w:type="spellEnd"/>
            <w:r>
              <w:rPr>
                <w:sz w:val="18"/>
                <w:szCs w:val="18"/>
              </w:rPr>
              <w:t xml:space="preserve"> </w:t>
            </w:r>
            <w:proofErr w:type="spellStart"/>
            <w:r>
              <w:rPr>
                <w:sz w:val="18"/>
                <w:szCs w:val="18"/>
              </w:rPr>
              <w:t>juil</w:t>
            </w:r>
            <w:proofErr w:type="spellEnd"/>
            <w:r>
              <w:rPr>
                <w:sz w:val="18"/>
                <w:szCs w:val="18"/>
              </w:rPr>
              <w:t>. 2024)</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28946" w14:textId="77777777" w:rsidR="00227667" w:rsidRDefault="00000000">
            <w:pPr>
              <w:jc w:val="right"/>
            </w:pPr>
            <w:r>
              <w:rPr>
                <w:sz w:val="18"/>
                <w:szCs w:val="18"/>
              </w:rPr>
              <w:t>442</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90843" w14:textId="77777777" w:rsidR="00227667" w:rsidRDefault="00000000">
            <w:pPr>
              <w:jc w:val="right"/>
            </w:pPr>
            <w:r>
              <w:rPr>
                <w:sz w:val="18"/>
                <w:szCs w:val="18"/>
              </w:rPr>
              <w:t>349</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ED744" w14:textId="77777777" w:rsidR="00227667" w:rsidRDefault="00000000">
            <w:pPr>
              <w:jc w:val="right"/>
            </w:pPr>
            <w:r>
              <w:rPr>
                <w:sz w:val="18"/>
                <w:szCs w:val="18"/>
              </w:rPr>
              <w:t>185</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53F52" w14:textId="77777777" w:rsidR="00227667" w:rsidRDefault="00000000">
            <w:pPr>
              <w:jc w:val="right"/>
            </w:pPr>
            <w:proofErr w:type="spellStart"/>
            <w:r>
              <w:rPr>
                <w:sz w:val="18"/>
                <w:szCs w:val="18"/>
              </w:rPr>
              <w:t>n.s</w:t>
            </w:r>
            <w:proofErr w:type="spellEnd"/>
            <w:r>
              <w:rPr>
                <w:sz w:val="18"/>
                <w:szCs w:val="18"/>
              </w:rPr>
              <w:t>.</w:t>
            </w:r>
          </w:p>
        </w:tc>
      </w:tr>
      <w:tr w:rsidR="00227667" w14:paraId="5FA11AD7" w14:textId="77777777" w:rsidTr="00C67981">
        <w:tc>
          <w:tcPr>
            <w:tcW w:w="269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F99F066" w14:textId="77777777" w:rsidR="00227667" w:rsidRDefault="00000000">
            <w:proofErr w:type="spellStart"/>
            <w:r>
              <w:rPr>
                <w:b/>
                <w:bCs/>
                <w:sz w:val="18"/>
                <w:szCs w:val="18"/>
              </w:rPr>
              <w:t>Revenus</w:t>
            </w:r>
            <w:proofErr w:type="spellEnd"/>
            <w:r>
              <w:rPr>
                <w:b/>
                <w:bCs/>
                <w:sz w:val="18"/>
                <w:szCs w:val="18"/>
              </w:rPr>
              <w:t xml:space="preserve"> </w:t>
            </w:r>
            <w:proofErr w:type="spellStart"/>
            <w:r>
              <w:rPr>
                <w:b/>
                <w:bCs/>
                <w:sz w:val="18"/>
                <w:szCs w:val="18"/>
              </w:rPr>
              <w:t>totaux</w:t>
            </w:r>
            <w:proofErr w:type="spellEnd"/>
          </w:p>
        </w:tc>
        <w:tc>
          <w:tcPr>
            <w:tcW w:w="198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FA86C12" w14:textId="77777777" w:rsidR="00227667" w:rsidRDefault="00000000">
            <w:pPr>
              <w:jc w:val="right"/>
            </w:pPr>
            <w:r>
              <w:rPr>
                <w:b/>
                <w:bCs/>
                <w:sz w:val="18"/>
                <w:szCs w:val="18"/>
              </w:rPr>
              <w:t>11 378</w:t>
            </w:r>
          </w:p>
        </w:tc>
        <w:tc>
          <w:tcPr>
            <w:tcW w:w="184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B46C17D" w14:textId="77777777" w:rsidR="00227667" w:rsidRDefault="00000000">
            <w:pPr>
              <w:jc w:val="right"/>
            </w:pPr>
            <w:r>
              <w:rPr>
                <w:b/>
                <w:bCs/>
                <w:sz w:val="18"/>
                <w:szCs w:val="18"/>
              </w:rPr>
              <w:t>11 145</w:t>
            </w:r>
          </w:p>
        </w:tc>
        <w:tc>
          <w:tcPr>
            <w:tcW w:w="184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4798ECF" w14:textId="77777777" w:rsidR="00227667" w:rsidRDefault="00000000">
            <w:pPr>
              <w:jc w:val="right"/>
            </w:pPr>
            <w:r>
              <w:rPr>
                <w:b/>
                <w:bCs/>
                <w:sz w:val="18"/>
                <w:szCs w:val="18"/>
              </w:rPr>
              <w:t>10 368</w:t>
            </w:r>
          </w:p>
        </w:tc>
        <w:tc>
          <w:tcPr>
            <w:tcW w:w="1275"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6687018" w14:textId="77777777" w:rsidR="00227667" w:rsidRDefault="00000000">
            <w:pPr>
              <w:jc w:val="right"/>
            </w:pPr>
            <w:r>
              <w:rPr>
                <w:b/>
                <w:bCs/>
                <w:sz w:val="18"/>
                <w:szCs w:val="18"/>
              </w:rPr>
              <w:t>−8,9 %</w:t>
            </w:r>
          </w:p>
        </w:tc>
      </w:tr>
      <w:tr w:rsidR="00227667" w14:paraId="5195484D" w14:textId="77777777" w:rsidTr="00C67981">
        <w:tc>
          <w:tcPr>
            <w:tcW w:w="269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8F86F1" w14:textId="77777777" w:rsidR="00227667" w:rsidRDefault="00000000">
            <w:proofErr w:type="spellStart"/>
            <w:r>
              <w:rPr>
                <w:sz w:val="18"/>
                <w:szCs w:val="18"/>
              </w:rPr>
              <w:t>Croissance</w:t>
            </w:r>
            <w:proofErr w:type="spellEnd"/>
            <w:r>
              <w:rPr>
                <w:sz w:val="18"/>
                <w:szCs w:val="18"/>
              </w:rPr>
              <w:t xml:space="preserve"> </w:t>
            </w:r>
            <w:proofErr w:type="spellStart"/>
            <w:r>
              <w:rPr>
                <w:sz w:val="18"/>
                <w:szCs w:val="18"/>
              </w:rPr>
              <w:t>yoy</w:t>
            </w:r>
            <w:proofErr w:type="spellEnd"/>
          </w:p>
        </w:tc>
        <w:tc>
          <w:tcPr>
            <w:tcW w:w="198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38A76A" w14:textId="3FDC7028" w:rsidR="00227667" w:rsidRDefault="003011B1">
            <w:pPr>
              <w:jc w:val="right"/>
            </w:pPr>
            <w:r>
              <w:rPr>
                <w:sz w:val="18"/>
                <w:szCs w:val="18"/>
              </w:rPr>
              <w:t>-</w:t>
            </w:r>
          </w:p>
        </w:tc>
        <w:tc>
          <w:tcPr>
            <w:tcW w:w="184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37B5B81" w14:textId="77777777" w:rsidR="00227667" w:rsidRDefault="00000000">
            <w:pPr>
              <w:jc w:val="right"/>
            </w:pPr>
            <w:r>
              <w:rPr>
                <w:sz w:val="18"/>
                <w:szCs w:val="18"/>
              </w:rPr>
              <w:t>−2,1 %</w:t>
            </w:r>
          </w:p>
        </w:tc>
        <w:tc>
          <w:tcPr>
            <w:tcW w:w="184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726770" w14:textId="77777777" w:rsidR="00227667" w:rsidRDefault="00000000">
            <w:pPr>
              <w:jc w:val="right"/>
            </w:pPr>
            <w:r>
              <w:rPr>
                <w:sz w:val="18"/>
                <w:szCs w:val="18"/>
              </w:rPr>
              <w:t>−7,0 %</w:t>
            </w:r>
          </w:p>
        </w:tc>
        <w:tc>
          <w:tcPr>
            <w:tcW w:w="127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F70C07" w14:textId="77777777" w:rsidR="00227667" w:rsidRDefault="00227667">
            <w:pPr>
              <w:jc w:val="right"/>
            </w:pPr>
          </w:p>
        </w:tc>
      </w:tr>
    </w:tbl>
    <w:p w14:paraId="6703910E" w14:textId="77777777" w:rsidR="00227667" w:rsidRDefault="00227667">
      <w:pPr>
        <w:spacing w:after="80"/>
      </w:pPr>
    </w:p>
    <w:p w14:paraId="0EE0B32F" w14:textId="77777777" w:rsidR="00227667" w:rsidRPr="00897C47" w:rsidRDefault="00000000">
      <w:pPr>
        <w:spacing w:after="120"/>
        <w:jc w:val="both"/>
        <w:rPr>
          <w:lang w:val="fr-FR"/>
        </w:rPr>
      </w:pPr>
      <w:r w:rsidRPr="00897C47">
        <w:rPr>
          <w:lang w:val="fr-FR"/>
        </w:rPr>
        <w:t>Les revenus d'Altice France ont reculé de 8,9 % sur deux ans, passant de 11,4 milliards d'euros en 2022 à 10,4 milliards en 2024. Cette érosion touche l'ensemble des segments. La dérive la plus préoccupante concerne le B2B, en repli de 13,6 % sur la période, qui est pourtant le segment le plus défensif et à plus forte valeur ajoutée. La cession du pôle Médias en 2024 explique une partie de l'accélération du repli en fin de période, mais les revenus télécom organiques (hors Médias) ont également décliné structurellement sous l'effet de la pression tarifaire et des pertes d'abonnés.</w:t>
      </w:r>
    </w:p>
    <w:p w14:paraId="5D46D788" w14:textId="77777777" w:rsidR="00227667" w:rsidRPr="00897C47" w:rsidRDefault="00227667">
      <w:pPr>
        <w:spacing w:after="80"/>
        <w:rPr>
          <w:lang w:val="fr-FR"/>
        </w:rPr>
      </w:pPr>
    </w:p>
    <w:p w14:paraId="01C764DC" w14:textId="77777777" w:rsidR="00227667" w:rsidRDefault="00000000">
      <w:pPr>
        <w:pStyle w:val="Heading3"/>
        <w:pBdr>
          <w:bottom w:val="single" w:sz="4" w:space="0" w:color="4472C4"/>
        </w:pBdr>
      </w:pPr>
      <w:r>
        <w:t xml:space="preserve">4.2 EBITDA et </w:t>
      </w:r>
      <w:proofErr w:type="spellStart"/>
      <w:r>
        <w:t>marges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1701"/>
        <w:gridCol w:w="1842"/>
        <w:gridCol w:w="1701"/>
        <w:gridCol w:w="1134"/>
      </w:tblGrid>
      <w:tr w:rsidR="00227667" w14:paraId="62F8048C" w14:textId="77777777" w:rsidTr="00C67981">
        <w:tc>
          <w:tcPr>
            <w:tcW w:w="326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59750757" w14:textId="77777777" w:rsidR="00227667" w:rsidRDefault="00000000">
            <w:pPr>
              <w:jc w:val="center"/>
            </w:pPr>
            <w:r>
              <w:rPr>
                <w:b/>
                <w:bCs/>
                <w:color w:val="FFFFFF"/>
                <w:sz w:val="18"/>
                <w:szCs w:val="18"/>
              </w:rPr>
              <w:t xml:space="preserve">EBITDA et </w:t>
            </w:r>
            <w:proofErr w:type="spellStart"/>
            <w:r>
              <w:rPr>
                <w:b/>
                <w:bCs/>
                <w:color w:val="FFFFFF"/>
                <w:sz w:val="18"/>
                <w:szCs w:val="18"/>
              </w:rPr>
              <w:t>marges</w:t>
            </w:r>
            <w:proofErr w:type="spellEnd"/>
            <w:r>
              <w:rPr>
                <w:b/>
                <w:bCs/>
                <w:color w:val="FFFFFF"/>
                <w:sz w:val="18"/>
                <w:szCs w:val="18"/>
              </w:rPr>
              <w:t xml:space="preserve"> (€m)</w:t>
            </w:r>
          </w:p>
        </w:tc>
        <w:tc>
          <w:tcPr>
            <w:tcW w:w="1701"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79A77004" w14:textId="77777777" w:rsidR="00227667" w:rsidRDefault="00000000">
            <w:pPr>
              <w:jc w:val="center"/>
            </w:pPr>
            <w:r>
              <w:rPr>
                <w:b/>
                <w:bCs/>
                <w:color w:val="FFFFFF"/>
                <w:sz w:val="18"/>
                <w:szCs w:val="18"/>
              </w:rPr>
              <w:t>2022</w:t>
            </w:r>
          </w:p>
        </w:tc>
        <w:tc>
          <w:tcPr>
            <w:tcW w:w="1842"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27815160" w14:textId="77777777" w:rsidR="00227667" w:rsidRDefault="00000000">
            <w:pPr>
              <w:jc w:val="center"/>
            </w:pPr>
            <w:r>
              <w:rPr>
                <w:b/>
                <w:bCs/>
                <w:color w:val="FFFFFF"/>
                <w:sz w:val="18"/>
                <w:szCs w:val="18"/>
              </w:rPr>
              <w:t>2023</w:t>
            </w:r>
          </w:p>
        </w:tc>
        <w:tc>
          <w:tcPr>
            <w:tcW w:w="1701"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271B9689" w14:textId="77777777" w:rsidR="00227667" w:rsidRDefault="00000000">
            <w:pPr>
              <w:jc w:val="center"/>
            </w:pPr>
            <w:r>
              <w:rPr>
                <w:b/>
                <w:bCs/>
                <w:color w:val="FFFFFF"/>
                <w:sz w:val="18"/>
                <w:szCs w:val="18"/>
              </w:rPr>
              <w:t>2024</w:t>
            </w:r>
          </w:p>
        </w:tc>
        <w:tc>
          <w:tcPr>
            <w:tcW w:w="1134"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686AC442" w14:textId="77777777" w:rsidR="00227667" w:rsidRDefault="00000000">
            <w:pPr>
              <w:jc w:val="center"/>
            </w:pPr>
            <w:r>
              <w:rPr>
                <w:b/>
                <w:bCs/>
                <w:color w:val="FFFFFF"/>
                <w:sz w:val="18"/>
                <w:szCs w:val="18"/>
              </w:rPr>
              <w:t>Var.</w:t>
            </w:r>
          </w:p>
        </w:tc>
      </w:tr>
      <w:tr w:rsidR="00227667" w14:paraId="2A5C1C46" w14:textId="77777777" w:rsidTr="00C67981">
        <w:tc>
          <w:tcPr>
            <w:tcW w:w="32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FD35044" w14:textId="77777777" w:rsidR="00227667" w:rsidRDefault="00000000">
            <w:r>
              <w:rPr>
                <w:b/>
                <w:bCs/>
                <w:sz w:val="18"/>
                <w:szCs w:val="18"/>
              </w:rPr>
              <w:t xml:space="preserve">EBITDA </w:t>
            </w:r>
            <w:proofErr w:type="spellStart"/>
            <w:r>
              <w:rPr>
                <w:b/>
                <w:bCs/>
                <w:sz w:val="18"/>
                <w:szCs w:val="18"/>
              </w:rPr>
              <w:t>Ajusté</w:t>
            </w:r>
            <w:proofErr w:type="spellEnd"/>
            <w:r>
              <w:rPr>
                <w:b/>
                <w:bCs/>
                <w:sz w:val="18"/>
                <w:szCs w:val="18"/>
              </w:rPr>
              <w:t xml:space="preserve"> (</w:t>
            </w:r>
            <w:proofErr w:type="spellStart"/>
            <w:r>
              <w:rPr>
                <w:b/>
                <w:bCs/>
                <w:sz w:val="18"/>
                <w:szCs w:val="18"/>
              </w:rPr>
              <w:t>EBITDAaL</w:t>
            </w:r>
            <w:proofErr w:type="spellEnd"/>
            <w:r>
              <w:rPr>
                <w:b/>
                <w:bCs/>
                <w:sz w:val="18"/>
                <w:szCs w:val="18"/>
              </w:rPr>
              <w:t>)</w:t>
            </w:r>
          </w:p>
        </w:tc>
        <w:tc>
          <w:tcPr>
            <w:tcW w:w="170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8BB1FA3" w14:textId="77777777" w:rsidR="00227667" w:rsidRDefault="00000000">
            <w:pPr>
              <w:jc w:val="right"/>
            </w:pPr>
            <w:r>
              <w:rPr>
                <w:b/>
                <w:bCs/>
                <w:sz w:val="18"/>
                <w:szCs w:val="18"/>
              </w:rPr>
              <w:t>3 950</w:t>
            </w:r>
          </w:p>
        </w:tc>
        <w:tc>
          <w:tcPr>
            <w:tcW w:w="184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DB98F60" w14:textId="77777777" w:rsidR="00227667" w:rsidRDefault="00000000">
            <w:pPr>
              <w:jc w:val="right"/>
            </w:pPr>
            <w:r>
              <w:rPr>
                <w:b/>
                <w:bCs/>
                <w:sz w:val="18"/>
                <w:szCs w:val="18"/>
              </w:rPr>
              <w:t>3 815</w:t>
            </w:r>
          </w:p>
        </w:tc>
        <w:tc>
          <w:tcPr>
            <w:tcW w:w="170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2BE2393" w14:textId="77777777" w:rsidR="00227667" w:rsidRDefault="00000000">
            <w:pPr>
              <w:jc w:val="right"/>
            </w:pPr>
            <w:r>
              <w:rPr>
                <w:b/>
                <w:bCs/>
                <w:sz w:val="18"/>
                <w:szCs w:val="18"/>
              </w:rPr>
              <w:t>3 429</w:t>
            </w:r>
          </w:p>
        </w:tc>
        <w:tc>
          <w:tcPr>
            <w:tcW w:w="113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367A61B" w14:textId="77777777" w:rsidR="00227667" w:rsidRDefault="00000000">
            <w:pPr>
              <w:jc w:val="right"/>
            </w:pPr>
            <w:r>
              <w:rPr>
                <w:b/>
                <w:bCs/>
                <w:sz w:val="18"/>
                <w:szCs w:val="18"/>
              </w:rPr>
              <w:t>−13,2 %</w:t>
            </w:r>
          </w:p>
        </w:tc>
      </w:tr>
      <w:tr w:rsidR="00227667" w14:paraId="54BEC344" w14:textId="77777777" w:rsidTr="00C67981">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56154" w14:textId="77777777" w:rsidR="00227667" w:rsidRDefault="00000000">
            <w:r>
              <w:rPr>
                <w:sz w:val="18"/>
                <w:szCs w:val="18"/>
              </w:rPr>
              <w:t>Marge EBITDA</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39A54" w14:textId="77777777" w:rsidR="00227667" w:rsidRDefault="00000000">
            <w:pPr>
              <w:jc w:val="right"/>
            </w:pPr>
            <w:r>
              <w:rPr>
                <w:sz w:val="18"/>
                <w:szCs w:val="18"/>
              </w:rPr>
              <w:t>34,7 %</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42E95" w14:textId="77777777" w:rsidR="00227667" w:rsidRDefault="00000000">
            <w:pPr>
              <w:jc w:val="right"/>
            </w:pPr>
            <w:r>
              <w:rPr>
                <w:sz w:val="18"/>
                <w:szCs w:val="18"/>
              </w:rPr>
              <w:t>34,2 %</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BC819" w14:textId="77777777" w:rsidR="00227667" w:rsidRDefault="00000000">
            <w:pPr>
              <w:jc w:val="right"/>
            </w:pPr>
            <w:r>
              <w:rPr>
                <w:sz w:val="18"/>
                <w:szCs w:val="18"/>
              </w:rPr>
              <w:t>33,1 %</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822E0" w14:textId="77777777" w:rsidR="00227667" w:rsidRDefault="00000000">
            <w:pPr>
              <w:jc w:val="right"/>
            </w:pPr>
            <w:r>
              <w:rPr>
                <w:sz w:val="18"/>
                <w:szCs w:val="18"/>
              </w:rPr>
              <w:t>−160 bp</w:t>
            </w:r>
          </w:p>
        </w:tc>
      </w:tr>
      <w:tr w:rsidR="00227667" w14:paraId="3C28769A" w14:textId="77777777" w:rsidTr="00C67981">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5E404" w14:textId="77777777" w:rsidR="00227667" w:rsidRDefault="00000000">
            <w:r>
              <w:rPr>
                <w:sz w:val="18"/>
                <w:szCs w:val="18"/>
              </w:rPr>
              <w:t>D&amp;A (</w:t>
            </w:r>
            <w:proofErr w:type="spellStart"/>
            <w:r>
              <w:rPr>
                <w:sz w:val="18"/>
                <w:szCs w:val="18"/>
              </w:rPr>
              <w:t>amortissements</w:t>
            </w:r>
            <w:proofErr w:type="spellEnd"/>
            <w:r>
              <w:rPr>
                <w:sz w:val="18"/>
                <w:szCs w:val="18"/>
              </w:rPr>
              <w:t>)</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193EE7" w14:textId="77777777" w:rsidR="00227667" w:rsidRDefault="00000000">
            <w:pPr>
              <w:jc w:val="right"/>
            </w:pPr>
            <w:r>
              <w:rPr>
                <w:sz w:val="18"/>
                <w:szCs w:val="18"/>
              </w:rPr>
              <w:t>(3 385)</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8EE867" w14:textId="77777777" w:rsidR="00227667" w:rsidRDefault="00000000">
            <w:pPr>
              <w:jc w:val="right"/>
            </w:pPr>
            <w:r>
              <w:rPr>
                <w:sz w:val="18"/>
                <w:szCs w:val="18"/>
              </w:rPr>
              <w:t>(3 308)</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769201" w14:textId="77777777" w:rsidR="00227667" w:rsidRDefault="00000000">
            <w:pPr>
              <w:jc w:val="right"/>
            </w:pPr>
            <w:r>
              <w:rPr>
                <w:sz w:val="18"/>
                <w:szCs w:val="18"/>
              </w:rPr>
              <w:t>(3 069)</w:t>
            </w:r>
          </w:p>
        </w:tc>
        <w:tc>
          <w:tcPr>
            <w:tcW w:w="11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CC215C" w14:textId="77777777" w:rsidR="00227667" w:rsidRDefault="00227667">
            <w:pPr>
              <w:jc w:val="right"/>
            </w:pPr>
          </w:p>
        </w:tc>
      </w:tr>
      <w:tr w:rsidR="00227667" w14:paraId="55518301" w14:textId="77777777" w:rsidTr="00C67981">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AC3EA" w14:textId="77777777" w:rsidR="00227667" w:rsidRPr="00897C47" w:rsidRDefault="00000000">
            <w:pPr>
              <w:rPr>
                <w:lang w:val="fr-FR"/>
              </w:rPr>
            </w:pPr>
            <w:r w:rsidRPr="00897C47">
              <w:rPr>
                <w:sz w:val="18"/>
                <w:szCs w:val="18"/>
                <w:lang w:val="fr-FR"/>
              </w:rPr>
              <w:t>EBIT normalisé (hors éléments non récurrents)</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ADD45" w14:textId="77777777" w:rsidR="00227667" w:rsidRDefault="00000000">
            <w:pPr>
              <w:jc w:val="right"/>
            </w:pPr>
            <w:r>
              <w:rPr>
                <w:sz w:val="18"/>
                <w:szCs w:val="18"/>
              </w:rPr>
              <w:t>1 419</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843F" w14:textId="77777777" w:rsidR="00227667" w:rsidRDefault="00000000">
            <w:pPr>
              <w:jc w:val="right"/>
            </w:pPr>
            <w:r>
              <w:rPr>
                <w:sz w:val="18"/>
                <w:szCs w:val="18"/>
              </w:rPr>
              <w:t>1 494</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9392F" w14:textId="77777777" w:rsidR="00227667" w:rsidRDefault="00000000">
            <w:pPr>
              <w:jc w:val="right"/>
            </w:pPr>
            <w:r>
              <w:rPr>
                <w:sz w:val="18"/>
                <w:szCs w:val="18"/>
              </w:rPr>
              <w:t>~650</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380D1" w14:textId="77777777" w:rsidR="00227667" w:rsidRDefault="00227667">
            <w:pPr>
              <w:jc w:val="right"/>
            </w:pPr>
          </w:p>
        </w:tc>
      </w:tr>
    </w:tbl>
    <w:p w14:paraId="331B963B" w14:textId="77777777" w:rsidR="00227667" w:rsidRDefault="00227667">
      <w:pPr>
        <w:spacing w:after="80"/>
      </w:pPr>
    </w:p>
    <w:p w14:paraId="445F193E" w14:textId="63563035" w:rsidR="00227667" w:rsidRPr="00897C47" w:rsidRDefault="00000000">
      <w:pPr>
        <w:spacing w:after="120"/>
        <w:jc w:val="both"/>
        <w:rPr>
          <w:lang w:val="fr-FR"/>
        </w:rPr>
      </w:pPr>
      <w:r w:rsidRPr="00897C47">
        <w:rPr>
          <w:lang w:val="fr-FR"/>
        </w:rPr>
        <w:t>L'EBITDA ajusté (</w:t>
      </w:r>
      <w:proofErr w:type="spellStart"/>
      <w:r w:rsidRPr="00897C47">
        <w:rPr>
          <w:lang w:val="fr-FR"/>
        </w:rPr>
        <w:t>EBITDAaL</w:t>
      </w:r>
      <w:proofErr w:type="spellEnd"/>
      <w:r w:rsidRPr="00897C47">
        <w:rPr>
          <w:lang w:val="fr-FR"/>
        </w:rPr>
        <w:t>) la métrique de référence sectorielle, calculée après déduction des loyers opérationnels conformément à IFRS 16 a reculé de 13,2 % sur la période, à un rythme plus rapide que le chiffre d'affaires, traduisant une compression de marge. Celle-ci s'explique par la hausse des loyers de réseau (passage de 1 053 à 1 231 millions d'euros entre 2022 et 2024) dans un contexte de déploiement fibre, et par une structure de coûts fixes difficile à réduire proportionnellement.</w:t>
      </w:r>
    </w:p>
    <w:p w14:paraId="0F584820" w14:textId="31C43F4B" w:rsidR="00227667" w:rsidRPr="00897C47" w:rsidRDefault="00000000">
      <w:pPr>
        <w:spacing w:before="80" w:after="80"/>
        <w:ind w:left="360"/>
        <w:rPr>
          <w:lang w:val="fr-FR"/>
        </w:rPr>
      </w:pPr>
      <w:r w:rsidRPr="00897C47">
        <w:rPr>
          <w:i/>
          <w:iCs/>
          <w:color w:val="C55A11"/>
          <w:sz w:val="18"/>
          <w:szCs w:val="18"/>
          <w:lang w:val="fr-FR"/>
        </w:rPr>
        <w:t xml:space="preserve">⚠  Point critique EBIT 2024 non comparable : l'EBIT publié de 4 368 M€ en 2024 inclut environ 3 milliards d'euros de plus-values de cessions (Altice Media, </w:t>
      </w:r>
      <w:proofErr w:type="spellStart"/>
      <w:r w:rsidRPr="00897C47">
        <w:rPr>
          <w:i/>
          <w:iCs/>
          <w:color w:val="C55A11"/>
          <w:sz w:val="18"/>
          <w:szCs w:val="18"/>
          <w:lang w:val="fr-FR"/>
        </w:rPr>
        <w:t>UltraEdge</w:t>
      </w:r>
      <w:proofErr w:type="spellEnd"/>
      <w:r w:rsidRPr="00897C47">
        <w:rPr>
          <w:i/>
          <w:iCs/>
          <w:color w:val="C55A11"/>
          <w:sz w:val="18"/>
          <w:szCs w:val="18"/>
          <w:lang w:val="fr-FR"/>
        </w:rPr>
        <w:t xml:space="preserve">, </w:t>
      </w:r>
      <w:proofErr w:type="spellStart"/>
      <w:r w:rsidRPr="00897C47">
        <w:rPr>
          <w:i/>
          <w:iCs/>
          <w:color w:val="C55A11"/>
          <w:sz w:val="18"/>
          <w:szCs w:val="18"/>
          <w:lang w:val="fr-FR"/>
        </w:rPr>
        <w:t>XpFibre</w:t>
      </w:r>
      <w:proofErr w:type="spellEnd"/>
      <w:r w:rsidRPr="00897C47">
        <w:rPr>
          <w:i/>
          <w:iCs/>
          <w:color w:val="C55A11"/>
          <w:sz w:val="18"/>
          <w:szCs w:val="18"/>
          <w:lang w:val="fr-FR"/>
        </w:rPr>
        <w:t xml:space="preserve">, La Poste Telecom). L'EBIT normalisé, hors ces éléments exceptionnels, est estimé à environ 650 M€ </w:t>
      </w:r>
      <w:r w:rsidR="003011B1">
        <w:rPr>
          <w:i/>
          <w:iCs/>
          <w:color w:val="C55A11"/>
          <w:sz w:val="18"/>
          <w:szCs w:val="18"/>
          <w:lang w:val="fr-FR"/>
        </w:rPr>
        <w:t>-</w:t>
      </w:r>
      <w:r w:rsidRPr="00897C47">
        <w:rPr>
          <w:i/>
          <w:iCs/>
          <w:color w:val="C55A11"/>
          <w:sz w:val="18"/>
          <w:szCs w:val="18"/>
          <w:lang w:val="fr-FR"/>
        </w:rPr>
        <w:t xml:space="preserve"> soit une rentabilité opérationnelle récurrente modeste, à peine supérieure au coût de la dette résiduelle.</w:t>
      </w:r>
    </w:p>
    <w:p w14:paraId="48D3BCFB" w14:textId="77777777" w:rsidR="00227667" w:rsidRPr="00897C47" w:rsidRDefault="00227667">
      <w:pPr>
        <w:spacing w:after="80"/>
        <w:rPr>
          <w:lang w:val="fr-FR"/>
        </w:rPr>
      </w:pPr>
    </w:p>
    <w:p w14:paraId="7E05BC5A" w14:textId="77777777" w:rsidR="00227667" w:rsidRDefault="00000000">
      <w:pPr>
        <w:pStyle w:val="Heading3"/>
        <w:pBdr>
          <w:bottom w:val="single" w:sz="4" w:space="0" w:color="4472C4"/>
        </w:pBdr>
      </w:pPr>
      <w:r>
        <w:t>4.3 Capex et Free Cash-Flow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1701"/>
        <w:gridCol w:w="1701"/>
        <w:gridCol w:w="1559"/>
        <w:gridCol w:w="992"/>
      </w:tblGrid>
      <w:tr w:rsidR="00227667" w14:paraId="7F5FFD73" w14:textId="77777777" w:rsidTr="00C67981">
        <w:tc>
          <w:tcPr>
            <w:tcW w:w="3685"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3D17BA5D" w14:textId="77777777" w:rsidR="00227667" w:rsidRDefault="00000000">
            <w:pPr>
              <w:jc w:val="center"/>
            </w:pPr>
            <w:r>
              <w:rPr>
                <w:b/>
                <w:bCs/>
                <w:color w:val="FFFFFF"/>
                <w:sz w:val="18"/>
                <w:szCs w:val="18"/>
              </w:rPr>
              <w:t>Capex &amp; FCF (€m)</w:t>
            </w:r>
          </w:p>
        </w:tc>
        <w:tc>
          <w:tcPr>
            <w:tcW w:w="1701"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52554A64" w14:textId="77777777" w:rsidR="00227667" w:rsidRDefault="00000000">
            <w:pPr>
              <w:jc w:val="center"/>
            </w:pPr>
            <w:r>
              <w:rPr>
                <w:b/>
                <w:bCs/>
                <w:color w:val="FFFFFF"/>
                <w:sz w:val="18"/>
                <w:szCs w:val="18"/>
              </w:rPr>
              <w:t>2022</w:t>
            </w:r>
          </w:p>
        </w:tc>
        <w:tc>
          <w:tcPr>
            <w:tcW w:w="1701"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2D13B88B" w14:textId="77777777" w:rsidR="00227667" w:rsidRDefault="00000000">
            <w:pPr>
              <w:jc w:val="center"/>
            </w:pPr>
            <w:r>
              <w:rPr>
                <w:b/>
                <w:bCs/>
                <w:color w:val="FFFFFF"/>
                <w:sz w:val="18"/>
                <w:szCs w:val="18"/>
              </w:rPr>
              <w:t>2023</w:t>
            </w:r>
          </w:p>
        </w:tc>
        <w:tc>
          <w:tcPr>
            <w:tcW w:w="1559"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689B7AA5" w14:textId="77777777" w:rsidR="00227667" w:rsidRDefault="00000000">
            <w:pPr>
              <w:jc w:val="center"/>
            </w:pPr>
            <w:r>
              <w:rPr>
                <w:b/>
                <w:bCs/>
                <w:color w:val="FFFFFF"/>
                <w:sz w:val="18"/>
                <w:szCs w:val="18"/>
              </w:rPr>
              <w:t>2024</w:t>
            </w:r>
          </w:p>
        </w:tc>
        <w:tc>
          <w:tcPr>
            <w:tcW w:w="992"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2FBCF717" w14:textId="77777777" w:rsidR="00227667" w:rsidRDefault="00000000">
            <w:pPr>
              <w:jc w:val="center"/>
            </w:pPr>
            <w:r>
              <w:rPr>
                <w:b/>
                <w:bCs/>
                <w:color w:val="FFFFFF"/>
                <w:sz w:val="18"/>
                <w:szCs w:val="18"/>
              </w:rPr>
              <w:t>Var.</w:t>
            </w:r>
          </w:p>
        </w:tc>
      </w:tr>
      <w:tr w:rsidR="00227667" w14:paraId="367FA7EC" w14:textId="77777777" w:rsidTr="00C67981">
        <w:tc>
          <w:tcPr>
            <w:tcW w:w="36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8B2BA7" w14:textId="77777777" w:rsidR="00227667" w:rsidRDefault="00000000">
            <w:r>
              <w:rPr>
                <w:sz w:val="18"/>
                <w:szCs w:val="18"/>
              </w:rPr>
              <w:t xml:space="preserve">Capex </w:t>
            </w:r>
            <w:proofErr w:type="spellStart"/>
            <w:r>
              <w:rPr>
                <w:sz w:val="18"/>
                <w:szCs w:val="18"/>
              </w:rPr>
              <w:t>accrué</w:t>
            </w:r>
            <w:proofErr w:type="spellEnd"/>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165759" w14:textId="77777777" w:rsidR="00227667" w:rsidRDefault="00000000">
            <w:pPr>
              <w:jc w:val="right"/>
            </w:pPr>
            <w:r>
              <w:rPr>
                <w:sz w:val="18"/>
                <w:szCs w:val="18"/>
              </w:rPr>
              <w:t>2 399</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21B537" w14:textId="77777777" w:rsidR="00227667" w:rsidRDefault="00000000">
            <w:pPr>
              <w:jc w:val="right"/>
            </w:pPr>
            <w:r>
              <w:rPr>
                <w:sz w:val="18"/>
                <w:szCs w:val="18"/>
              </w:rPr>
              <w:t>2 326</w:t>
            </w:r>
          </w:p>
        </w:tc>
        <w:tc>
          <w:tcPr>
            <w:tcW w:w="15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31EE8D" w14:textId="77777777" w:rsidR="00227667" w:rsidRDefault="00000000">
            <w:pPr>
              <w:jc w:val="right"/>
            </w:pPr>
            <w:r>
              <w:rPr>
                <w:sz w:val="18"/>
                <w:szCs w:val="18"/>
              </w:rPr>
              <w:t>2 095</w:t>
            </w:r>
          </w:p>
        </w:tc>
        <w:tc>
          <w:tcPr>
            <w:tcW w:w="9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995C89" w14:textId="77777777" w:rsidR="00227667" w:rsidRDefault="00000000">
            <w:pPr>
              <w:jc w:val="right"/>
            </w:pPr>
            <w:r>
              <w:rPr>
                <w:sz w:val="18"/>
                <w:szCs w:val="18"/>
              </w:rPr>
              <w:t>−12,7 %</w:t>
            </w:r>
          </w:p>
        </w:tc>
      </w:tr>
      <w:tr w:rsidR="00227667" w14:paraId="21A34ECA" w14:textId="77777777" w:rsidTr="00C67981">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9CC65" w14:textId="77777777" w:rsidR="00227667" w:rsidRDefault="00000000">
            <w:r>
              <w:rPr>
                <w:sz w:val="18"/>
                <w:szCs w:val="18"/>
              </w:rPr>
              <w:t>Capex / CA</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3195B" w14:textId="77777777" w:rsidR="00227667" w:rsidRDefault="00000000">
            <w:pPr>
              <w:jc w:val="right"/>
            </w:pPr>
            <w:r>
              <w:rPr>
                <w:sz w:val="18"/>
                <w:szCs w:val="18"/>
              </w:rPr>
              <w:t>21,1 %</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089A9" w14:textId="77777777" w:rsidR="00227667" w:rsidRDefault="00000000">
            <w:pPr>
              <w:jc w:val="right"/>
            </w:pPr>
            <w:r>
              <w:rPr>
                <w:sz w:val="18"/>
                <w:szCs w:val="18"/>
              </w:rPr>
              <w:t>20,9 %</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DC474" w14:textId="77777777" w:rsidR="00227667" w:rsidRDefault="00000000">
            <w:pPr>
              <w:jc w:val="right"/>
            </w:pPr>
            <w:r>
              <w:rPr>
                <w:sz w:val="18"/>
                <w:szCs w:val="18"/>
              </w:rPr>
              <w:t>20,2 %</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6687D" w14:textId="77777777" w:rsidR="00227667" w:rsidRDefault="00227667">
            <w:pPr>
              <w:jc w:val="right"/>
            </w:pPr>
          </w:p>
        </w:tc>
      </w:tr>
      <w:tr w:rsidR="00227667" w14:paraId="582C056D" w14:textId="77777777" w:rsidTr="00C67981">
        <w:tc>
          <w:tcPr>
            <w:tcW w:w="3685"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1126AE3" w14:textId="77777777" w:rsidR="00227667" w:rsidRDefault="00000000">
            <w:proofErr w:type="spellStart"/>
            <w:r>
              <w:rPr>
                <w:b/>
                <w:bCs/>
                <w:sz w:val="18"/>
                <w:szCs w:val="18"/>
              </w:rPr>
              <w:t>OpFCF</w:t>
            </w:r>
            <w:proofErr w:type="spellEnd"/>
            <w:r>
              <w:rPr>
                <w:b/>
                <w:bCs/>
                <w:sz w:val="18"/>
                <w:szCs w:val="18"/>
              </w:rPr>
              <w:t xml:space="preserve"> = EBITDA − Capex</w:t>
            </w:r>
          </w:p>
        </w:tc>
        <w:tc>
          <w:tcPr>
            <w:tcW w:w="170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A9B2F3B" w14:textId="77777777" w:rsidR="00227667" w:rsidRDefault="00000000">
            <w:pPr>
              <w:jc w:val="right"/>
            </w:pPr>
            <w:r>
              <w:rPr>
                <w:b/>
                <w:bCs/>
                <w:sz w:val="18"/>
                <w:szCs w:val="18"/>
              </w:rPr>
              <w:t>1 551</w:t>
            </w:r>
          </w:p>
        </w:tc>
        <w:tc>
          <w:tcPr>
            <w:tcW w:w="170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E6F96B6" w14:textId="77777777" w:rsidR="00227667" w:rsidRDefault="00000000">
            <w:pPr>
              <w:jc w:val="right"/>
            </w:pPr>
            <w:r>
              <w:rPr>
                <w:b/>
                <w:bCs/>
                <w:sz w:val="18"/>
                <w:szCs w:val="18"/>
              </w:rPr>
              <w:t>1 490</w:t>
            </w:r>
          </w:p>
        </w:tc>
        <w:tc>
          <w:tcPr>
            <w:tcW w:w="155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9F5D1BC" w14:textId="77777777" w:rsidR="00227667" w:rsidRDefault="00000000">
            <w:pPr>
              <w:jc w:val="right"/>
            </w:pPr>
            <w:r>
              <w:rPr>
                <w:b/>
                <w:bCs/>
                <w:sz w:val="18"/>
                <w:szCs w:val="18"/>
              </w:rPr>
              <w:t>1 334</w:t>
            </w:r>
          </w:p>
        </w:tc>
        <w:tc>
          <w:tcPr>
            <w:tcW w:w="99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67BD877" w14:textId="77777777" w:rsidR="00227667" w:rsidRDefault="00000000">
            <w:pPr>
              <w:jc w:val="right"/>
            </w:pPr>
            <w:r>
              <w:rPr>
                <w:b/>
                <w:bCs/>
                <w:sz w:val="18"/>
                <w:szCs w:val="18"/>
              </w:rPr>
              <w:t>−14,0 %</w:t>
            </w:r>
          </w:p>
        </w:tc>
      </w:tr>
      <w:tr w:rsidR="00227667" w14:paraId="6CD673A6" w14:textId="77777777" w:rsidTr="00C67981">
        <w:tc>
          <w:tcPr>
            <w:tcW w:w="368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D90948" w14:textId="77777777" w:rsidR="00227667" w:rsidRDefault="00000000">
            <w:r>
              <w:rPr>
                <w:sz w:val="18"/>
                <w:szCs w:val="18"/>
              </w:rPr>
              <w:t>Variation BFR</w:t>
            </w:r>
          </w:p>
        </w:tc>
        <w:tc>
          <w:tcPr>
            <w:tcW w:w="170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045CB19" w14:textId="77777777" w:rsidR="00227667" w:rsidRDefault="00000000">
            <w:pPr>
              <w:jc w:val="right"/>
            </w:pPr>
            <w:r>
              <w:rPr>
                <w:sz w:val="18"/>
                <w:szCs w:val="18"/>
              </w:rPr>
              <w:t>(132)</w:t>
            </w:r>
          </w:p>
        </w:tc>
        <w:tc>
          <w:tcPr>
            <w:tcW w:w="170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8D63E9" w14:textId="77777777" w:rsidR="00227667" w:rsidRDefault="00000000">
            <w:pPr>
              <w:jc w:val="right"/>
            </w:pPr>
            <w:r>
              <w:rPr>
                <w:sz w:val="18"/>
                <w:szCs w:val="18"/>
              </w:rPr>
              <w:t>(335)</w:t>
            </w:r>
          </w:p>
        </w:tc>
        <w:tc>
          <w:tcPr>
            <w:tcW w:w="155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3EB5B6" w14:textId="77777777" w:rsidR="00227667" w:rsidRDefault="00000000">
            <w:pPr>
              <w:jc w:val="right"/>
            </w:pPr>
            <w:r>
              <w:rPr>
                <w:sz w:val="18"/>
                <w:szCs w:val="18"/>
              </w:rPr>
              <w:t>368</w:t>
            </w:r>
          </w:p>
        </w:tc>
        <w:tc>
          <w:tcPr>
            <w:tcW w:w="99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CDFFAE" w14:textId="77777777" w:rsidR="00227667" w:rsidRDefault="00227667">
            <w:pPr>
              <w:jc w:val="right"/>
            </w:pPr>
          </w:p>
        </w:tc>
      </w:tr>
    </w:tbl>
    <w:p w14:paraId="7A1FA568" w14:textId="77777777" w:rsidR="00227667" w:rsidRDefault="00227667">
      <w:pPr>
        <w:spacing w:after="80"/>
      </w:pPr>
    </w:p>
    <w:p w14:paraId="2B197B99" w14:textId="77777777" w:rsidR="00227667" w:rsidRPr="00897C47" w:rsidRDefault="00000000">
      <w:pPr>
        <w:spacing w:after="120"/>
        <w:jc w:val="both"/>
        <w:rPr>
          <w:lang w:val="fr-FR"/>
        </w:rPr>
      </w:pPr>
      <w:r w:rsidRPr="00897C47">
        <w:rPr>
          <w:lang w:val="fr-FR"/>
        </w:rPr>
        <w:t>Le Capex annuel représente environ 20 à 21 % du chiffre d'affaires, un ratio parmi les plus élevés du secteur européen, reflet des obligations de déploiement fibre et d'entretien d'un réseau mobile national. La tendance à la baisse du Capex sur la période (−12,7 %) traduit un ralentissement partiel des déploiements et des arbitrages financiers contraints par la pression de la dette.</w:t>
      </w:r>
    </w:p>
    <w:p w14:paraId="0BA756F4" w14:textId="77777777" w:rsidR="00227667" w:rsidRPr="00897C47" w:rsidRDefault="00000000">
      <w:pPr>
        <w:spacing w:after="120"/>
        <w:jc w:val="both"/>
        <w:rPr>
          <w:lang w:val="fr-FR"/>
        </w:rPr>
      </w:pPr>
      <w:r w:rsidRPr="00897C47">
        <w:rPr>
          <w:lang w:val="fr-FR"/>
        </w:rPr>
        <w:t>La variation de BFR est structurellement volatile chez Altice France : elle est respectivement de −132 M€, −335 M€ et +368 M€ sur les trois années. La variation positive de 2024 est en grande partie liée à des éléments non récurrents (réduction de programmes d'affacturage inversé, effets de cessions), et ne reflète pas une amélioration structurelle du cycle d'exploitation. Pour les projections, une variation normalisée de −100 M€ par an a été retenue, représentant la moyenne retraitée de la période.</w:t>
      </w:r>
    </w:p>
    <w:p w14:paraId="2DBF9539" w14:textId="77777777" w:rsidR="00227667" w:rsidRPr="00897C47" w:rsidRDefault="00227667">
      <w:pPr>
        <w:spacing w:after="80"/>
        <w:rPr>
          <w:lang w:val="fr-FR"/>
        </w:rPr>
      </w:pPr>
    </w:p>
    <w:p w14:paraId="29CC8998" w14:textId="77777777" w:rsidR="00227667" w:rsidRPr="00897C47" w:rsidRDefault="00000000">
      <w:pPr>
        <w:pStyle w:val="Heading3"/>
        <w:pBdr>
          <w:bottom w:val="single" w:sz="4" w:space="0" w:color="4472C4"/>
        </w:pBdr>
        <w:rPr>
          <w:lang w:val="fr-FR"/>
        </w:rPr>
      </w:pPr>
      <w:r w:rsidRPr="00897C47">
        <w:rPr>
          <w:lang w:val="fr-FR"/>
        </w:rPr>
        <w:t>4.4 Structure financière et endettement</w:t>
      </w:r>
    </w:p>
    <w:p w14:paraId="26C7568D" w14:textId="5275DD5A" w:rsidR="00227667" w:rsidRPr="00897C47" w:rsidRDefault="00000000">
      <w:pPr>
        <w:spacing w:after="120"/>
        <w:jc w:val="both"/>
        <w:rPr>
          <w:lang w:val="fr-FR"/>
        </w:rPr>
      </w:pPr>
      <w:r w:rsidRPr="00897C47">
        <w:rPr>
          <w:lang w:val="fr-FR"/>
        </w:rPr>
        <w:t>La dette financière nette d'Altice France (hors entités non restreintes) s'élevait à 19,8 milliards d'euros au 31 décembre 2024. Après la mise en œuvre du plan de sauvegarde accélérée en octobre 2025 qui a effacé 8,6 milliards d'euros de dette via conversion partielle en capital la dette résiduelle est estimée à environ 15,5 milliards d'euros, avec des échéances reportées entre 2028 et 2033. La charge d'intérêts annuelle a été réduite d'environ 400 millions d'euros dans le cadre de cet accord. Par ailleurs, les obligations locatives IFRS 16 (loyers capitalisés), estimées à 3,2 milliards d'euros, constituent un engagement réel supplémentaire qui doit être pris en compte dans le bridge EV-vers-</w:t>
      </w:r>
      <w:proofErr w:type="spellStart"/>
      <w:r w:rsidRPr="00897C47">
        <w:rPr>
          <w:lang w:val="fr-FR"/>
        </w:rPr>
        <w:t>Equity</w:t>
      </w:r>
      <w:proofErr w:type="spellEnd"/>
      <w:r w:rsidRPr="00897C47">
        <w:rPr>
          <w:lang w:val="fr-FR"/>
        </w:rPr>
        <w:t xml:space="preserve"> Value.</w:t>
      </w:r>
    </w:p>
    <w:p w14:paraId="485019E4" w14:textId="71B9692C" w:rsidR="00227667" w:rsidRPr="00897C47" w:rsidRDefault="00000000">
      <w:pPr>
        <w:spacing w:before="80" w:after="80"/>
        <w:ind w:left="360"/>
        <w:rPr>
          <w:lang w:val="fr-FR"/>
        </w:rPr>
      </w:pPr>
      <w:r w:rsidRPr="00897C47">
        <w:rPr>
          <w:i/>
          <w:iCs/>
          <w:color w:val="C55A11"/>
          <w:sz w:val="18"/>
          <w:szCs w:val="18"/>
          <w:lang w:val="fr-FR"/>
        </w:rPr>
        <w:t>⚠  Note de vigilance</w:t>
      </w:r>
      <w:r w:rsidR="00023274">
        <w:rPr>
          <w:i/>
          <w:iCs/>
          <w:color w:val="C55A11"/>
          <w:sz w:val="18"/>
          <w:szCs w:val="18"/>
          <w:lang w:val="fr-FR"/>
        </w:rPr>
        <w:t> :</w:t>
      </w:r>
      <w:r w:rsidRPr="00897C47">
        <w:rPr>
          <w:i/>
          <w:iCs/>
          <w:color w:val="C55A11"/>
          <w:sz w:val="18"/>
          <w:szCs w:val="18"/>
          <w:lang w:val="fr-FR"/>
        </w:rPr>
        <w:t xml:space="preserve"> Résultat net distordu : les résultats nets 2022 (+842 M€) et 2024 (+1 974 M€) sont tous deux affectés par des éléments non récurrents majeurs (gains sur dérivés de change en 2022, plus-values de cessions en 2024). La perte nette 2023 de −1 103 M€ constitue la seule mesure de la profitabilité récurrente, elle-même grevée par une charge d'intérêts annuelle de 2,3 milliards d'euros. Ces distorsions imposent de travailler exclusivement sur l'EBITDA et le FCFF pour toute analyse de valorisation.</w:t>
      </w:r>
    </w:p>
    <w:p w14:paraId="43FE2249" w14:textId="77777777" w:rsidR="00227667" w:rsidRPr="00897C47" w:rsidRDefault="00000000">
      <w:pPr>
        <w:rPr>
          <w:lang w:val="fr-FR"/>
        </w:rPr>
      </w:pPr>
      <w:r w:rsidRPr="00897C47">
        <w:rPr>
          <w:lang w:val="fr-FR"/>
        </w:rPr>
        <w:br w:type="page"/>
      </w:r>
    </w:p>
    <w:p w14:paraId="077617ED" w14:textId="77777777" w:rsidR="00227667" w:rsidRPr="00897C47" w:rsidRDefault="00000000">
      <w:pPr>
        <w:pStyle w:val="Heading1"/>
        <w:shd w:val="clear" w:color="auto" w:fill="1F3864"/>
        <w:ind w:left="200"/>
        <w:rPr>
          <w:lang w:val="fr-FR"/>
        </w:rPr>
      </w:pPr>
      <w:r w:rsidRPr="00897C47">
        <w:rPr>
          <w:lang w:val="fr-FR"/>
        </w:rPr>
        <w:lastRenderedPageBreak/>
        <w:t>5. Hypothèses de valorisation</w:t>
      </w:r>
    </w:p>
    <w:p w14:paraId="58808490" w14:textId="77777777" w:rsidR="00227667" w:rsidRPr="00897C47" w:rsidRDefault="00227667">
      <w:pPr>
        <w:spacing w:after="80"/>
        <w:rPr>
          <w:lang w:val="fr-FR"/>
        </w:rPr>
      </w:pPr>
    </w:p>
    <w:p w14:paraId="556A5B42" w14:textId="77777777" w:rsidR="00227667" w:rsidRPr="00897C47" w:rsidRDefault="00000000">
      <w:pPr>
        <w:pStyle w:val="Heading3"/>
        <w:pBdr>
          <w:bottom w:val="single" w:sz="4" w:space="0" w:color="4472C4"/>
        </w:pBdr>
        <w:rPr>
          <w:lang w:val="fr-FR"/>
        </w:rPr>
      </w:pPr>
      <w:r w:rsidRPr="00897C47">
        <w:rPr>
          <w:lang w:val="fr-FR"/>
        </w:rPr>
        <w:t>5.1 Scénarios de projections (2025E–2029E)</w:t>
      </w:r>
    </w:p>
    <w:p w14:paraId="6C3BCFBC" w14:textId="77777777" w:rsidR="00227667" w:rsidRPr="00897C47" w:rsidRDefault="00000000">
      <w:pPr>
        <w:spacing w:after="120"/>
        <w:jc w:val="both"/>
        <w:rPr>
          <w:lang w:val="fr-FR"/>
        </w:rPr>
      </w:pPr>
      <w:r w:rsidRPr="00897C47">
        <w:rPr>
          <w:lang w:val="fr-FR"/>
        </w:rPr>
        <w:t>Trois scénarios ont été construits pour encadrer la trajectoire financière de SFR sur l'horizon de projection 2025–2029. Ces scénarios permettent de tester la sensibilité de la valorisation à des hypothèses d'exploitation divergentes, conformément à la pratique standard en M&amp;A.</w:t>
      </w:r>
    </w:p>
    <w:p w14:paraId="4D9D5A8E" w14:textId="77777777" w:rsidR="00227667" w:rsidRPr="00897C47" w:rsidRDefault="00227667">
      <w:pPr>
        <w:spacing w:after="80"/>
        <w:rPr>
          <w:lang w:val="fr-FR"/>
        </w:rPr>
      </w:pPr>
    </w:p>
    <w:tbl>
      <w:tblPr>
        <w:tblW w:w="8880" w:type="dxa"/>
        <w:tblLook w:val="04A0" w:firstRow="1" w:lastRow="0" w:firstColumn="1" w:lastColumn="0" w:noHBand="0" w:noVBand="1"/>
      </w:tblPr>
      <w:tblGrid>
        <w:gridCol w:w="2680"/>
        <w:gridCol w:w="1240"/>
        <w:gridCol w:w="1240"/>
        <w:gridCol w:w="1240"/>
        <w:gridCol w:w="1240"/>
        <w:gridCol w:w="1240"/>
      </w:tblGrid>
      <w:tr w:rsidR="007802D1" w:rsidRPr="007802D1" w14:paraId="1DDA66EC" w14:textId="77777777" w:rsidTr="007802D1">
        <w:trPr>
          <w:trHeight w:val="300"/>
        </w:trPr>
        <w:tc>
          <w:tcPr>
            <w:tcW w:w="2680" w:type="dxa"/>
            <w:tcBorders>
              <w:top w:val="single" w:sz="4" w:space="0" w:color="BFBFBF"/>
              <w:left w:val="single" w:sz="4" w:space="0" w:color="BFBFBF"/>
              <w:bottom w:val="single" w:sz="4" w:space="0" w:color="BFBFBF"/>
              <w:right w:val="single" w:sz="4" w:space="0" w:color="BFBFBF"/>
            </w:tcBorders>
            <w:shd w:val="clear" w:color="2E4D7B" w:fill="1F3864"/>
            <w:noWrap/>
            <w:vAlign w:val="center"/>
            <w:hideMark/>
          </w:tcPr>
          <w:p w14:paraId="753DF11E" w14:textId="77777777" w:rsidR="007802D1" w:rsidRPr="007802D1" w:rsidRDefault="007802D1" w:rsidP="007802D1">
            <w:pPr>
              <w:rPr>
                <w:rFonts w:eastAsia="Times New Roman"/>
                <w:b/>
                <w:bCs/>
                <w:color w:val="FFFFFF"/>
              </w:rPr>
            </w:pPr>
            <w:proofErr w:type="spellStart"/>
            <w:r w:rsidRPr="007802D1">
              <w:rPr>
                <w:rFonts w:eastAsia="Times New Roman"/>
                <w:b/>
                <w:bCs/>
                <w:color w:val="FFFFFF"/>
              </w:rPr>
              <w:t>Hypothèses</w:t>
            </w:r>
            <w:proofErr w:type="spellEnd"/>
            <w:r w:rsidRPr="007802D1">
              <w:rPr>
                <w:rFonts w:eastAsia="Times New Roman"/>
                <w:b/>
                <w:bCs/>
                <w:color w:val="FFFFFF"/>
              </w:rPr>
              <w:t xml:space="preserve"> Bear</w:t>
            </w:r>
          </w:p>
        </w:tc>
        <w:tc>
          <w:tcPr>
            <w:tcW w:w="1240" w:type="dxa"/>
            <w:tcBorders>
              <w:top w:val="single" w:sz="4" w:space="0" w:color="BFBFBF"/>
              <w:left w:val="nil"/>
              <w:bottom w:val="single" w:sz="4" w:space="0" w:color="BFBFBF"/>
              <w:right w:val="single" w:sz="4" w:space="0" w:color="BFBFBF"/>
            </w:tcBorders>
            <w:shd w:val="clear" w:color="2E4D7B" w:fill="1F3864"/>
            <w:noWrap/>
            <w:vAlign w:val="center"/>
            <w:hideMark/>
          </w:tcPr>
          <w:p w14:paraId="645810D2" w14:textId="77777777" w:rsidR="007802D1" w:rsidRPr="007802D1" w:rsidRDefault="007802D1" w:rsidP="007802D1">
            <w:pPr>
              <w:jc w:val="center"/>
              <w:rPr>
                <w:rFonts w:eastAsia="Times New Roman"/>
                <w:b/>
                <w:bCs/>
                <w:color w:val="FFFFFF"/>
              </w:rPr>
            </w:pPr>
            <w:r w:rsidRPr="007802D1">
              <w:rPr>
                <w:rFonts w:eastAsia="Times New Roman"/>
                <w:b/>
                <w:bCs/>
                <w:color w:val="FFFFFF"/>
              </w:rPr>
              <w:t>25E</w:t>
            </w:r>
          </w:p>
        </w:tc>
        <w:tc>
          <w:tcPr>
            <w:tcW w:w="1240" w:type="dxa"/>
            <w:tcBorders>
              <w:top w:val="single" w:sz="4" w:space="0" w:color="BFBFBF"/>
              <w:left w:val="nil"/>
              <w:bottom w:val="single" w:sz="4" w:space="0" w:color="BFBFBF"/>
              <w:right w:val="single" w:sz="4" w:space="0" w:color="BFBFBF"/>
            </w:tcBorders>
            <w:shd w:val="clear" w:color="2E4D7B" w:fill="1F3864"/>
            <w:noWrap/>
            <w:vAlign w:val="center"/>
            <w:hideMark/>
          </w:tcPr>
          <w:p w14:paraId="218A2B1F" w14:textId="77777777" w:rsidR="007802D1" w:rsidRPr="007802D1" w:rsidRDefault="007802D1" w:rsidP="007802D1">
            <w:pPr>
              <w:jc w:val="center"/>
              <w:rPr>
                <w:rFonts w:eastAsia="Times New Roman"/>
                <w:b/>
                <w:bCs/>
                <w:color w:val="FFFFFF"/>
              </w:rPr>
            </w:pPr>
            <w:r w:rsidRPr="007802D1">
              <w:rPr>
                <w:rFonts w:eastAsia="Times New Roman"/>
                <w:b/>
                <w:bCs/>
                <w:color w:val="FFFFFF"/>
              </w:rPr>
              <w:t>26E</w:t>
            </w:r>
          </w:p>
        </w:tc>
        <w:tc>
          <w:tcPr>
            <w:tcW w:w="1240" w:type="dxa"/>
            <w:tcBorders>
              <w:top w:val="single" w:sz="4" w:space="0" w:color="BFBFBF"/>
              <w:left w:val="nil"/>
              <w:bottom w:val="single" w:sz="4" w:space="0" w:color="BFBFBF"/>
              <w:right w:val="single" w:sz="4" w:space="0" w:color="BFBFBF"/>
            </w:tcBorders>
            <w:shd w:val="clear" w:color="2E4D7B" w:fill="1F3864"/>
            <w:noWrap/>
            <w:vAlign w:val="center"/>
            <w:hideMark/>
          </w:tcPr>
          <w:p w14:paraId="4CA50E24" w14:textId="77777777" w:rsidR="007802D1" w:rsidRPr="007802D1" w:rsidRDefault="007802D1" w:rsidP="007802D1">
            <w:pPr>
              <w:jc w:val="center"/>
              <w:rPr>
                <w:rFonts w:eastAsia="Times New Roman"/>
                <w:b/>
                <w:bCs/>
                <w:color w:val="FFFFFF"/>
              </w:rPr>
            </w:pPr>
            <w:r w:rsidRPr="007802D1">
              <w:rPr>
                <w:rFonts w:eastAsia="Times New Roman"/>
                <w:b/>
                <w:bCs/>
                <w:color w:val="FFFFFF"/>
              </w:rPr>
              <w:t>27E</w:t>
            </w:r>
          </w:p>
        </w:tc>
        <w:tc>
          <w:tcPr>
            <w:tcW w:w="1240" w:type="dxa"/>
            <w:tcBorders>
              <w:top w:val="single" w:sz="4" w:space="0" w:color="BFBFBF"/>
              <w:left w:val="nil"/>
              <w:bottom w:val="single" w:sz="4" w:space="0" w:color="BFBFBF"/>
              <w:right w:val="single" w:sz="4" w:space="0" w:color="BFBFBF"/>
            </w:tcBorders>
            <w:shd w:val="clear" w:color="2E4D7B" w:fill="1F3864"/>
            <w:noWrap/>
            <w:vAlign w:val="center"/>
            <w:hideMark/>
          </w:tcPr>
          <w:p w14:paraId="731C58A9" w14:textId="77777777" w:rsidR="007802D1" w:rsidRPr="007802D1" w:rsidRDefault="007802D1" w:rsidP="007802D1">
            <w:pPr>
              <w:jc w:val="center"/>
              <w:rPr>
                <w:rFonts w:eastAsia="Times New Roman"/>
                <w:b/>
                <w:bCs/>
                <w:color w:val="FFFFFF"/>
              </w:rPr>
            </w:pPr>
            <w:r w:rsidRPr="007802D1">
              <w:rPr>
                <w:rFonts w:eastAsia="Times New Roman"/>
                <w:b/>
                <w:bCs/>
                <w:color w:val="FFFFFF"/>
              </w:rPr>
              <w:t>28E</w:t>
            </w:r>
          </w:p>
        </w:tc>
        <w:tc>
          <w:tcPr>
            <w:tcW w:w="1240" w:type="dxa"/>
            <w:tcBorders>
              <w:top w:val="single" w:sz="4" w:space="0" w:color="BFBFBF"/>
              <w:left w:val="nil"/>
              <w:bottom w:val="single" w:sz="4" w:space="0" w:color="BFBFBF"/>
              <w:right w:val="single" w:sz="4" w:space="0" w:color="BFBFBF"/>
            </w:tcBorders>
            <w:shd w:val="clear" w:color="2E4D7B" w:fill="1F3864"/>
            <w:noWrap/>
            <w:vAlign w:val="center"/>
            <w:hideMark/>
          </w:tcPr>
          <w:p w14:paraId="21824694" w14:textId="77777777" w:rsidR="007802D1" w:rsidRPr="007802D1" w:rsidRDefault="007802D1" w:rsidP="007802D1">
            <w:pPr>
              <w:jc w:val="center"/>
              <w:rPr>
                <w:rFonts w:eastAsia="Times New Roman"/>
                <w:b/>
                <w:bCs/>
                <w:color w:val="FFFFFF"/>
              </w:rPr>
            </w:pPr>
            <w:r w:rsidRPr="007802D1">
              <w:rPr>
                <w:rFonts w:eastAsia="Times New Roman"/>
                <w:b/>
                <w:bCs/>
                <w:color w:val="FFFFFF"/>
              </w:rPr>
              <w:t>29E</w:t>
            </w:r>
          </w:p>
        </w:tc>
      </w:tr>
      <w:tr w:rsidR="007802D1" w:rsidRPr="007802D1" w14:paraId="5FA64331" w14:textId="77777777" w:rsidTr="007802D1">
        <w:trPr>
          <w:trHeight w:val="300"/>
        </w:trPr>
        <w:tc>
          <w:tcPr>
            <w:tcW w:w="2680" w:type="dxa"/>
            <w:tcBorders>
              <w:top w:val="nil"/>
              <w:left w:val="single" w:sz="4" w:space="0" w:color="BFBFBF"/>
              <w:bottom w:val="single" w:sz="4" w:space="0" w:color="BFBFBF"/>
              <w:right w:val="single" w:sz="4" w:space="0" w:color="BFBFBF"/>
            </w:tcBorders>
            <w:shd w:val="clear" w:color="EEF4FB" w:fill="FFFFFF"/>
            <w:noWrap/>
            <w:vAlign w:val="center"/>
            <w:hideMark/>
          </w:tcPr>
          <w:p w14:paraId="5EAB2654" w14:textId="77777777" w:rsidR="007802D1" w:rsidRPr="007802D1" w:rsidRDefault="007802D1" w:rsidP="007802D1">
            <w:pPr>
              <w:rPr>
                <w:rFonts w:eastAsia="Times New Roman"/>
                <w:color w:val="000000"/>
              </w:rPr>
            </w:pPr>
            <w:proofErr w:type="spellStart"/>
            <w:r w:rsidRPr="007802D1">
              <w:rPr>
                <w:rFonts w:eastAsia="Times New Roman"/>
                <w:color w:val="000000"/>
              </w:rPr>
              <w:t>Croissance</w:t>
            </w:r>
            <w:proofErr w:type="spellEnd"/>
            <w:r w:rsidRPr="007802D1">
              <w:rPr>
                <w:rFonts w:eastAsia="Times New Roman"/>
                <w:color w:val="000000"/>
              </w:rPr>
              <w:t xml:space="preserve"> CA (</w:t>
            </w:r>
            <w:proofErr w:type="spellStart"/>
            <w:r w:rsidRPr="007802D1">
              <w:rPr>
                <w:rFonts w:eastAsia="Times New Roman"/>
                <w:color w:val="000000"/>
              </w:rPr>
              <w:t>yoy</w:t>
            </w:r>
            <w:proofErr w:type="spellEnd"/>
            <w:r w:rsidRPr="007802D1">
              <w:rPr>
                <w:rFonts w:eastAsia="Times New Roman"/>
                <w:color w:val="000000"/>
              </w:rPr>
              <w:t>)</w:t>
            </w:r>
          </w:p>
        </w:tc>
        <w:tc>
          <w:tcPr>
            <w:tcW w:w="1240" w:type="dxa"/>
            <w:tcBorders>
              <w:top w:val="nil"/>
              <w:left w:val="nil"/>
              <w:bottom w:val="single" w:sz="4" w:space="0" w:color="BFBFBF"/>
              <w:right w:val="single" w:sz="4" w:space="0" w:color="BFBFBF"/>
            </w:tcBorders>
            <w:shd w:val="clear" w:color="EEF4FB" w:fill="FFFFFF"/>
            <w:noWrap/>
            <w:vAlign w:val="center"/>
            <w:hideMark/>
          </w:tcPr>
          <w:p w14:paraId="66EA4000" w14:textId="77777777" w:rsidR="007802D1" w:rsidRPr="007802D1" w:rsidRDefault="007802D1" w:rsidP="007802D1">
            <w:pPr>
              <w:jc w:val="right"/>
              <w:rPr>
                <w:rFonts w:eastAsia="Times New Roman"/>
              </w:rPr>
            </w:pPr>
            <w:r w:rsidRPr="007802D1">
              <w:rPr>
                <w:rFonts w:eastAsia="Times New Roman"/>
              </w:rPr>
              <w:t>-5%</w:t>
            </w:r>
          </w:p>
        </w:tc>
        <w:tc>
          <w:tcPr>
            <w:tcW w:w="1240" w:type="dxa"/>
            <w:tcBorders>
              <w:top w:val="nil"/>
              <w:left w:val="nil"/>
              <w:bottom w:val="single" w:sz="4" w:space="0" w:color="BFBFBF"/>
              <w:right w:val="single" w:sz="4" w:space="0" w:color="BFBFBF"/>
            </w:tcBorders>
            <w:shd w:val="clear" w:color="EEF4FB" w:fill="FFFFFF"/>
            <w:noWrap/>
            <w:vAlign w:val="center"/>
            <w:hideMark/>
          </w:tcPr>
          <w:p w14:paraId="43A637E3" w14:textId="77777777" w:rsidR="007802D1" w:rsidRPr="007802D1" w:rsidRDefault="007802D1" w:rsidP="007802D1">
            <w:pPr>
              <w:jc w:val="right"/>
              <w:rPr>
                <w:rFonts w:eastAsia="Times New Roman"/>
              </w:rPr>
            </w:pPr>
            <w:r w:rsidRPr="007802D1">
              <w:rPr>
                <w:rFonts w:eastAsia="Times New Roman"/>
              </w:rPr>
              <w:t>-4%</w:t>
            </w:r>
          </w:p>
        </w:tc>
        <w:tc>
          <w:tcPr>
            <w:tcW w:w="1240" w:type="dxa"/>
            <w:tcBorders>
              <w:top w:val="nil"/>
              <w:left w:val="nil"/>
              <w:bottom w:val="single" w:sz="4" w:space="0" w:color="BFBFBF"/>
              <w:right w:val="single" w:sz="4" w:space="0" w:color="BFBFBF"/>
            </w:tcBorders>
            <w:shd w:val="clear" w:color="EEF4FB" w:fill="FFFFFF"/>
            <w:noWrap/>
            <w:vAlign w:val="center"/>
            <w:hideMark/>
          </w:tcPr>
          <w:p w14:paraId="5ABACAEB" w14:textId="77777777" w:rsidR="007802D1" w:rsidRPr="007802D1" w:rsidRDefault="007802D1" w:rsidP="007802D1">
            <w:pPr>
              <w:jc w:val="right"/>
              <w:rPr>
                <w:rFonts w:eastAsia="Times New Roman"/>
              </w:rPr>
            </w:pPr>
            <w:r w:rsidRPr="007802D1">
              <w:rPr>
                <w:rFonts w:eastAsia="Times New Roman"/>
              </w:rPr>
              <w:t>-2%</w:t>
            </w:r>
          </w:p>
        </w:tc>
        <w:tc>
          <w:tcPr>
            <w:tcW w:w="1240" w:type="dxa"/>
            <w:tcBorders>
              <w:top w:val="nil"/>
              <w:left w:val="nil"/>
              <w:bottom w:val="single" w:sz="4" w:space="0" w:color="BFBFBF"/>
              <w:right w:val="single" w:sz="4" w:space="0" w:color="BFBFBF"/>
            </w:tcBorders>
            <w:shd w:val="clear" w:color="EEF4FB" w:fill="FFFFFF"/>
            <w:noWrap/>
            <w:vAlign w:val="center"/>
            <w:hideMark/>
          </w:tcPr>
          <w:p w14:paraId="4B076FD7" w14:textId="77777777" w:rsidR="007802D1" w:rsidRPr="007802D1" w:rsidRDefault="007802D1" w:rsidP="007802D1">
            <w:pPr>
              <w:jc w:val="right"/>
              <w:rPr>
                <w:rFonts w:eastAsia="Times New Roman"/>
              </w:rPr>
            </w:pPr>
            <w:r w:rsidRPr="007802D1">
              <w:rPr>
                <w:rFonts w:eastAsia="Times New Roman"/>
              </w:rPr>
              <w:t>-1%</w:t>
            </w:r>
          </w:p>
        </w:tc>
        <w:tc>
          <w:tcPr>
            <w:tcW w:w="1240" w:type="dxa"/>
            <w:tcBorders>
              <w:top w:val="nil"/>
              <w:left w:val="nil"/>
              <w:bottom w:val="single" w:sz="4" w:space="0" w:color="BFBFBF"/>
              <w:right w:val="single" w:sz="4" w:space="0" w:color="BFBFBF"/>
            </w:tcBorders>
            <w:shd w:val="clear" w:color="EEF4FB" w:fill="FFFFFF"/>
            <w:noWrap/>
            <w:vAlign w:val="center"/>
            <w:hideMark/>
          </w:tcPr>
          <w:p w14:paraId="775A561B" w14:textId="77777777" w:rsidR="007802D1" w:rsidRPr="007802D1" w:rsidRDefault="007802D1" w:rsidP="007802D1">
            <w:pPr>
              <w:jc w:val="right"/>
              <w:rPr>
                <w:rFonts w:eastAsia="Times New Roman"/>
              </w:rPr>
            </w:pPr>
            <w:r w:rsidRPr="007802D1">
              <w:rPr>
                <w:rFonts w:eastAsia="Times New Roman"/>
              </w:rPr>
              <w:t>-1%</w:t>
            </w:r>
          </w:p>
        </w:tc>
      </w:tr>
      <w:tr w:rsidR="007802D1" w:rsidRPr="007802D1" w14:paraId="5158B4A6" w14:textId="77777777" w:rsidTr="007802D1">
        <w:trPr>
          <w:trHeight w:val="300"/>
        </w:trPr>
        <w:tc>
          <w:tcPr>
            <w:tcW w:w="2680" w:type="dxa"/>
            <w:tcBorders>
              <w:top w:val="nil"/>
              <w:left w:val="single" w:sz="4" w:space="0" w:color="BFBFBF"/>
              <w:bottom w:val="single" w:sz="4" w:space="0" w:color="BFBFBF"/>
              <w:right w:val="single" w:sz="4" w:space="0" w:color="BFBFBF"/>
            </w:tcBorders>
            <w:shd w:val="clear" w:color="EEF4FB" w:fill="F2F2F2"/>
            <w:noWrap/>
            <w:vAlign w:val="center"/>
            <w:hideMark/>
          </w:tcPr>
          <w:p w14:paraId="086C9289" w14:textId="77777777" w:rsidR="007802D1" w:rsidRPr="007802D1" w:rsidRDefault="007802D1" w:rsidP="007802D1">
            <w:pPr>
              <w:rPr>
                <w:rFonts w:eastAsia="Times New Roman"/>
                <w:color w:val="000000"/>
              </w:rPr>
            </w:pPr>
            <w:r w:rsidRPr="007802D1">
              <w:rPr>
                <w:rFonts w:eastAsia="Times New Roman"/>
                <w:color w:val="000000"/>
              </w:rPr>
              <w:t>Marge EBITDA (%)</w:t>
            </w:r>
          </w:p>
        </w:tc>
        <w:tc>
          <w:tcPr>
            <w:tcW w:w="1240" w:type="dxa"/>
            <w:tcBorders>
              <w:top w:val="nil"/>
              <w:left w:val="nil"/>
              <w:bottom w:val="single" w:sz="4" w:space="0" w:color="BFBFBF"/>
              <w:right w:val="single" w:sz="4" w:space="0" w:color="BFBFBF"/>
            </w:tcBorders>
            <w:shd w:val="clear" w:color="EEF4FB" w:fill="F2F2F2"/>
            <w:noWrap/>
            <w:vAlign w:val="center"/>
            <w:hideMark/>
          </w:tcPr>
          <w:p w14:paraId="483E3C2E" w14:textId="77777777" w:rsidR="007802D1" w:rsidRPr="007802D1" w:rsidRDefault="007802D1" w:rsidP="007802D1">
            <w:pPr>
              <w:jc w:val="right"/>
              <w:rPr>
                <w:rFonts w:eastAsia="Times New Roman"/>
              </w:rPr>
            </w:pPr>
            <w:r w:rsidRPr="007802D1">
              <w:rPr>
                <w:rFonts w:eastAsia="Times New Roman"/>
              </w:rPr>
              <w:t>31%</w:t>
            </w:r>
          </w:p>
        </w:tc>
        <w:tc>
          <w:tcPr>
            <w:tcW w:w="1240" w:type="dxa"/>
            <w:tcBorders>
              <w:top w:val="nil"/>
              <w:left w:val="nil"/>
              <w:bottom w:val="single" w:sz="4" w:space="0" w:color="BFBFBF"/>
              <w:right w:val="single" w:sz="4" w:space="0" w:color="BFBFBF"/>
            </w:tcBorders>
            <w:shd w:val="clear" w:color="EEF4FB" w:fill="F2F2F2"/>
            <w:noWrap/>
            <w:vAlign w:val="center"/>
            <w:hideMark/>
          </w:tcPr>
          <w:p w14:paraId="16978336" w14:textId="77777777" w:rsidR="007802D1" w:rsidRPr="007802D1" w:rsidRDefault="007802D1" w:rsidP="007802D1">
            <w:pPr>
              <w:jc w:val="right"/>
              <w:rPr>
                <w:rFonts w:eastAsia="Times New Roman"/>
              </w:rPr>
            </w:pPr>
            <w:r w:rsidRPr="007802D1">
              <w:rPr>
                <w:rFonts w:eastAsia="Times New Roman"/>
              </w:rPr>
              <w:t>31%</w:t>
            </w:r>
          </w:p>
        </w:tc>
        <w:tc>
          <w:tcPr>
            <w:tcW w:w="1240" w:type="dxa"/>
            <w:tcBorders>
              <w:top w:val="nil"/>
              <w:left w:val="nil"/>
              <w:bottom w:val="single" w:sz="4" w:space="0" w:color="BFBFBF"/>
              <w:right w:val="single" w:sz="4" w:space="0" w:color="BFBFBF"/>
            </w:tcBorders>
            <w:shd w:val="clear" w:color="EEF4FB" w:fill="F2F2F2"/>
            <w:noWrap/>
            <w:vAlign w:val="center"/>
            <w:hideMark/>
          </w:tcPr>
          <w:p w14:paraId="4D916191" w14:textId="77777777" w:rsidR="007802D1" w:rsidRPr="007802D1" w:rsidRDefault="007802D1" w:rsidP="007802D1">
            <w:pPr>
              <w:jc w:val="right"/>
              <w:rPr>
                <w:rFonts w:eastAsia="Times New Roman"/>
              </w:rPr>
            </w:pPr>
            <w:r w:rsidRPr="007802D1">
              <w:rPr>
                <w:rFonts w:eastAsia="Times New Roman"/>
              </w:rPr>
              <w:t>32%</w:t>
            </w:r>
          </w:p>
        </w:tc>
        <w:tc>
          <w:tcPr>
            <w:tcW w:w="1240" w:type="dxa"/>
            <w:tcBorders>
              <w:top w:val="nil"/>
              <w:left w:val="nil"/>
              <w:bottom w:val="single" w:sz="4" w:space="0" w:color="BFBFBF"/>
              <w:right w:val="single" w:sz="4" w:space="0" w:color="BFBFBF"/>
            </w:tcBorders>
            <w:shd w:val="clear" w:color="EEF4FB" w:fill="F2F2F2"/>
            <w:noWrap/>
            <w:vAlign w:val="center"/>
            <w:hideMark/>
          </w:tcPr>
          <w:p w14:paraId="5D58E54B" w14:textId="77777777" w:rsidR="007802D1" w:rsidRPr="007802D1" w:rsidRDefault="007802D1" w:rsidP="007802D1">
            <w:pPr>
              <w:jc w:val="right"/>
              <w:rPr>
                <w:rFonts w:eastAsia="Times New Roman"/>
              </w:rPr>
            </w:pPr>
            <w:r w:rsidRPr="007802D1">
              <w:rPr>
                <w:rFonts w:eastAsia="Times New Roman"/>
              </w:rPr>
              <w:t>32%</w:t>
            </w:r>
          </w:p>
        </w:tc>
        <w:tc>
          <w:tcPr>
            <w:tcW w:w="1240" w:type="dxa"/>
            <w:tcBorders>
              <w:top w:val="nil"/>
              <w:left w:val="nil"/>
              <w:bottom w:val="single" w:sz="4" w:space="0" w:color="BFBFBF"/>
              <w:right w:val="single" w:sz="4" w:space="0" w:color="BFBFBF"/>
            </w:tcBorders>
            <w:shd w:val="clear" w:color="EEF4FB" w:fill="F2F2F2"/>
            <w:noWrap/>
            <w:vAlign w:val="center"/>
            <w:hideMark/>
          </w:tcPr>
          <w:p w14:paraId="3661647C" w14:textId="77777777" w:rsidR="007802D1" w:rsidRPr="007802D1" w:rsidRDefault="007802D1" w:rsidP="007802D1">
            <w:pPr>
              <w:jc w:val="right"/>
              <w:rPr>
                <w:rFonts w:eastAsia="Times New Roman"/>
              </w:rPr>
            </w:pPr>
            <w:r w:rsidRPr="007802D1">
              <w:rPr>
                <w:rFonts w:eastAsia="Times New Roman"/>
              </w:rPr>
              <w:t>33%</w:t>
            </w:r>
          </w:p>
        </w:tc>
      </w:tr>
      <w:tr w:rsidR="007802D1" w:rsidRPr="007802D1" w14:paraId="0139DFA4" w14:textId="77777777" w:rsidTr="007802D1">
        <w:trPr>
          <w:trHeight w:val="300"/>
        </w:trPr>
        <w:tc>
          <w:tcPr>
            <w:tcW w:w="2680" w:type="dxa"/>
            <w:tcBorders>
              <w:top w:val="nil"/>
              <w:left w:val="single" w:sz="4" w:space="0" w:color="BFBFBF"/>
              <w:bottom w:val="single" w:sz="4" w:space="0" w:color="BFBFBF"/>
              <w:right w:val="single" w:sz="4" w:space="0" w:color="BFBFBF"/>
            </w:tcBorders>
            <w:shd w:val="clear" w:color="EEF4FB" w:fill="FFFFFF"/>
            <w:noWrap/>
            <w:vAlign w:val="center"/>
            <w:hideMark/>
          </w:tcPr>
          <w:p w14:paraId="531728B5" w14:textId="77777777" w:rsidR="007802D1" w:rsidRPr="007802D1" w:rsidRDefault="007802D1" w:rsidP="007802D1">
            <w:pPr>
              <w:rPr>
                <w:rFonts w:eastAsia="Times New Roman"/>
                <w:color w:val="000000"/>
              </w:rPr>
            </w:pPr>
            <w:r w:rsidRPr="007802D1">
              <w:rPr>
                <w:rFonts w:eastAsia="Times New Roman"/>
                <w:color w:val="000000"/>
              </w:rPr>
              <w:t>Capex / CA (%)</w:t>
            </w:r>
          </w:p>
        </w:tc>
        <w:tc>
          <w:tcPr>
            <w:tcW w:w="1240" w:type="dxa"/>
            <w:tcBorders>
              <w:top w:val="nil"/>
              <w:left w:val="nil"/>
              <w:bottom w:val="single" w:sz="4" w:space="0" w:color="BFBFBF"/>
              <w:right w:val="single" w:sz="4" w:space="0" w:color="BFBFBF"/>
            </w:tcBorders>
            <w:shd w:val="clear" w:color="EEF4FB" w:fill="FFFFFF"/>
            <w:noWrap/>
            <w:vAlign w:val="center"/>
            <w:hideMark/>
          </w:tcPr>
          <w:p w14:paraId="3A8190E1" w14:textId="77777777" w:rsidR="007802D1" w:rsidRPr="007802D1" w:rsidRDefault="007802D1" w:rsidP="007802D1">
            <w:pPr>
              <w:jc w:val="right"/>
              <w:rPr>
                <w:rFonts w:eastAsia="Times New Roman"/>
              </w:rPr>
            </w:pPr>
            <w:r w:rsidRPr="007802D1">
              <w:rPr>
                <w:rFonts w:eastAsia="Times New Roman"/>
              </w:rPr>
              <w:t>21%</w:t>
            </w:r>
          </w:p>
        </w:tc>
        <w:tc>
          <w:tcPr>
            <w:tcW w:w="1240" w:type="dxa"/>
            <w:tcBorders>
              <w:top w:val="nil"/>
              <w:left w:val="nil"/>
              <w:bottom w:val="single" w:sz="4" w:space="0" w:color="BFBFBF"/>
              <w:right w:val="single" w:sz="4" w:space="0" w:color="BFBFBF"/>
            </w:tcBorders>
            <w:shd w:val="clear" w:color="EEF4FB" w:fill="FFFFFF"/>
            <w:noWrap/>
            <w:vAlign w:val="center"/>
            <w:hideMark/>
          </w:tcPr>
          <w:p w14:paraId="179FDB83" w14:textId="77777777" w:rsidR="007802D1" w:rsidRPr="007802D1" w:rsidRDefault="007802D1" w:rsidP="007802D1">
            <w:pPr>
              <w:jc w:val="right"/>
              <w:rPr>
                <w:rFonts w:eastAsia="Times New Roman"/>
              </w:rPr>
            </w:pPr>
            <w:r w:rsidRPr="007802D1">
              <w:rPr>
                <w:rFonts w:eastAsia="Times New Roman"/>
              </w:rPr>
              <w:t>21%</w:t>
            </w:r>
          </w:p>
        </w:tc>
        <w:tc>
          <w:tcPr>
            <w:tcW w:w="1240" w:type="dxa"/>
            <w:tcBorders>
              <w:top w:val="nil"/>
              <w:left w:val="nil"/>
              <w:bottom w:val="single" w:sz="4" w:space="0" w:color="BFBFBF"/>
              <w:right w:val="single" w:sz="4" w:space="0" w:color="BFBFBF"/>
            </w:tcBorders>
            <w:shd w:val="clear" w:color="EEF4FB" w:fill="FFFFFF"/>
            <w:noWrap/>
            <w:vAlign w:val="center"/>
            <w:hideMark/>
          </w:tcPr>
          <w:p w14:paraId="6AB4E6E9" w14:textId="77777777" w:rsidR="007802D1" w:rsidRPr="007802D1" w:rsidRDefault="007802D1" w:rsidP="007802D1">
            <w:pPr>
              <w:jc w:val="right"/>
              <w:rPr>
                <w:rFonts w:eastAsia="Times New Roman"/>
              </w:rPr>
            </w:pPr>
            <w:r w:rsidRPr="007802D1">
              <w:rPr>
                <w:rFonts w:eastAsia="Times New Roman"/>
              </w:rPr>
              <w:t>20%</w:t>
            </w:r>
          </w:p>
        </w:tc>
        <w:tc>
          <w:tcPr>
            <w:tcW w:w="1240" w:type="dxa"/>
            <w:tcBorders>
              <w:top w:val="nil"/>
              <w:left w:val="nil"/>
              <w:bottom w:val="single" w:sz="4" w:space="0" w:color="BFBFBF"/>
              <w:right w:val="single" w:sz="4" w:space="0" w:color="BFBFBF"/>
            </w:tcBorders>
            <w:shd w:val="clear" w:color="EEF4FB" w:fill="FFFFFF"/>
            <w:noWrap/>
            <w:vAlign w:val="center"/>
            <w:hideMark/>
          </w:tcPr>
          <w:p w14:paraId="390B6CEF" w14:textId="77777777" w:rsidR="007802D1" w:rsidRPr="007802D1" w:rsidRDefault="007802D1" w:rsidP="007802D1">
            <w:pPr>
              <w:jc w:val="right"/>
              <w:rPr>
                <w:rFonts w:eastAsia="Times New Roman"/>
              </w:rPr>
            </w:pPr>
            <w:r w:rsidRPr="007802D1">
              <w:rPr>
                <w:rFonts w:eastAsia="Times New Roman"/>
              </w:rPr>
              <w:t>20%</w:t>
            </w:r>
          </w:p>
        </w:tc>
        <w:tc>
          <w:tcPr>
            <w:tcW w:w="1240" w:type="dxa"/>
            <w:tcBorders>
              <w:top w:val="nil"/>
              <w:left w:val="nil"/>
              <w:bottom w:val="single" w:sz="4" w:space="0" w:color="BFBFBF"/>
              <w:right w:val="single" w:sz="4" w:space="0" w:color="BFBFBF"/>
            </w:tcBorders>
            <w:shd w:val="clear" w:color="EEF4FB" w:fill="FFFFFF"/>
            <w:noWrap/>
            <w:vAlign w:val="center"/>
            <w:hideMark/>
          </w:tcPr>
          <w:p w14:paraId="065EE312" w14:textId="77777777" w:rsidR="007802D1" w:rsidRPr="007802D1" w:rsidRDefault="007802D1" w:rsidP="007802D1">
            <w:pPr>
              <w:jc w:val="right"/>
              <w:rPr>
                <w:rFonts w:eastAsia="Times New Roman"/>
              </w:rPr>
            </w:pPr>
            <w:r w:rsidRPr="007802D1">
              <w:rPr>
                <w:rFonts w:eastAsia="Times New Roman"/>
              </w:rPr>
              <w:t>20%</w:t>
            </w:r>
          </w:p>
        </w:tc>
      </w:tr>
      <w:tr w:rsidR="007802D1" w:rsidRPr="007802D1" w14:paraId="7A561D3C" w14:textId="77777777" w:rsidTr="007802D1">
        <w:trPr>
          <w:trHeight w:val="300"/>
        </w:trPr>
        <w:tc>
          <w:tcPr>
            <w:tcW w:w="2680" w:type="dxa"/>
            <w:tcBorders>
              <w:top w:val="nil"/>
              <w:left w:val="nil"/>
              <w:bottom w:val="nil"/>
              <w:right w:val="nil"/>
            </w:tcBorders>
            <w:shd w:val="clear" w:color="EEF4FB" w:fill="FFFFFF"/>
            <w:noWrap/>
            <w:vAlign w:val="center"/>
            <w:hideMark/>
          </w:tcPr>
          <w:p w14:paraId="24454F9A" w14:textId="77777777" w:rsidR="007802D1" w:rsidRPr="007802D1" w:rsidRDefault="007802D1" w:rsidP="007802D1">
            <w:pPr>
              <w:rPr>
                <w:rFonts w:eastAsia="Times New Roman"/>
                <w:color w:val="000000"/>
              </w:rPr>
            </w:pPr>
            <w:r w:rsidRPr="007802D1">
              <w:rPr>
                <w:rFonts w:eastAsia="Times New Roman"/>
                <w:color w:val="000000"/>
              </w:rPr>
              <w:t> </w:t>
            </w:r>
          </w:p>
        </w:tc>
        <w:tc>
          <w:tcPr>
            <w:tcW w:w="1240" w:type="dxa"/>
            <w:tcBorders>
              <w:top w:val="nil"/>
              <w:left w:val="nil"/>
              <w:bottom w:val="nil"/>
              <w:right w:val="nil"/>
            </w:tcBorders>
            <w:shd w:val="clear" w:color="EEF4FB" w:fill="FFFFFF"/>
            <w:noWrap/>
            <w:vAlign w:val="center"/>
            <w:hideMark/>
          </w:tcPr>
          <w:p w14:paraId="120B8331" w14:textId="77777777" w:rsidR="007802D1" w:rsidRPr="007802D1" w:rsidRDefault="007802D1" w:rsidP="007802D1">
            <w:pPr>
              <w:jc w:val="right"/>
              <w:rPr>
                <w:rFonts w:eastAsia="Times New Roman"/>
              </w:rPr>
            </w:pPr>
            <w:r w:rsidRPr="007802D1">
              <w:rPr>
                <w:rFonts w:eastAsia="Times New Roman"/>
              </w:rPr>
              <w:t> </w:t>
            </w:r>
          </w:p>
        </w:tc>
        <w:tc>
          <w:tcPr>
            <w:tcW w:w="1240" w:type="dxa"/>
            <w:tcBorders>
              <w:top w:val="nil"/>
              <w:left w:val="nil"/>
              <w:bottom w:val="nil"/>
              <w:right w:val="nil"/>
            </w:tcBorders>
            <w:shd w:val="clear" w:color="EEF4FB" w:fill="FFFFFF"/>
            <w:noWrap/>
            <w:vAlign w:val="center"/>
            <w:hideMark/>
          </w:tcPr>
          <w:p w14:paraId="5EB4AF46" w14:textId="77777777" w:rsidR="007802D1" w:rsidRPr="007802D1" w:rsidRDefault="007802D1" w:rsidP="007802D1">
            <w:pPr>
              <w:jc w:val="right"/>
              <w:rPr>
                <w:rFonts w:eastAsia="Times New Roman"/>
              </w:rPr>
            </w:pPr>
            <w:r w:rsidRPr="007802D1">
              <w:rPr>
                <w:rFonts w:eastAsia="Times New Roman"/>
              </w:rPr>
              <w:t> </w:t>
            </w:r>
          </w:p>
        </w:tc>
        <w:tc>
          <w:tcPr>
            <w:tcW w:w="1240" w:type="dxa"/>
            <w:tcBorders>
              <w:top w:val="nil"/>
              <w:left w:val="nil"/>
              <w:bottom w:val="nil"/>
              <w:right w:val="nil"/>
            </w:tcBorders>
            <w:shd w:val="clear" w:color="EEF4FB" w:fill="FFFFFF"/>
            <w:noWrap/>
            <w:vAlign w:val="center"/>
            <w:hideMark/>
          </w:tcPr>
          <w:p w14:paraId="54B50907" w14:textId="77777777" w:rsidR="007802D1" w:rsidRPr="007802D1" w:rsidRDefault="007802D1" w:rsidP="007802D1">
            <w:pPr>
              <w:jc w:val="right"/>
              <w:rPr>
                <w:rFonts w:eastAsia="Times New Roman"/>
              </w:rPr>
            </w:pPr>
            <w:r w:rsidRPr="007802D1">
              <w:rPr>
                <w:rFonts w:eastAsia="Times New Roman"/>
              </w:rPr>
              <w:t> </w:t>
            </w:r>
          </w:p>
        </w:tc>
        <w:tc>
          <w:tcPr>
            <w:tcW w:w="1240" w:type="dxa"/>
            <w:tcBorders>
              <w:top w:val="nil"/>
              <w:left w:val="nil"/>
              <w:bottom w:val="nil"/>
              <w:right w:val="nil"/>
            </w:tcBorders>
            <w:shd w:val="clear" w:color="EEF4FB" w:fill="FFFFFF"/>
            <w:noWrap/>
            <w:vAlign w:val="center"/>
            <w:hideMark/>
          </w:tcPr>
          <w:p w14:paraId="4028259D" w14:textId="77777777" w:rsidR="007802D1" w:rsidRPr="007802D1" w:rsidRDefault="007802D1" w:rsidP="007802D1">
            <w:pPr>
              <w:jc w:val="right"/>
              <w:rPr>
                <w:rFonts w:eastAsia="Times New Roman"/>
              </w:rPr>
            </w:pPr>
            <w:r w:rsidRPr="007802D1">
              <w:rPr>
                <w:rFonts w:eastAsia="Times New Roman"/>
              </w:rPr>
              <w:t> </w:t>
            </w:r>
          </w:p>
        </w:tc>
        <w:tc>
          <w:tcPr>
            <w:tcW w:w="1240" w:type="dxa"/>
            <w:tcBorders>
              <w:top w:val="nil"/>
              <w:left w:val="nil"/>
              <w:bottom w:val="nil"/>
              <w:right w:val="nil"/>
            </w:tcBorders>
            <w:shd w:val="clear" w:color="EEF4FB" w:fill="FFFFFF"/>
            <w:noWrap/>
            <w:vAlign w:val="center"/>
            <w:hideMark/>
          </w:tcPr>
          <w:p w14:paraId="5F37CA3B" w14:textId="77777777" w:rsidR="007802D1" w:rsidRPr="007802D1" w:rsidRDefault="007802D1" w:rsidP="007802D1">
            <w:pPr>
              <w:jc w:val="right"/>
              <w:rPr>
                <w:rFonts w:eastAsia="Times New Roman"/>
              </w:rPr>
            </w:pPr>
            <w:r w:rsidRPr="007802D1">
              <w:rPr>
                <w:rFonts w:eastAsia="Times New Roman"/>
              </w:rPr>
              <w:t> </w:t>
            </w:r>
          </w:p>
        </w:tc>
      </w:tr>
      <w:tr w:rsidR="007802D1" w:rsidRPr="007802D1" w14:paraId="1A16163C" w14:textId="77777777" w:rsidTr="007802D1">
        <w:trPr>
          <w:trHeight w:val="300"/>
        </w:trPr>
        <w:tc>
          <w:tcPr>
            <w:tcW w:w="2680" w:type="dxa"/>
            <w:tcBorders>
              <w:top w:val="nil"/>
              <w:left w:val="nil"/>
              <w:bottom w:val="nil"/>
              <w:right w:val="nil"/>
            </w:tcBorders>
            <w:noWrap/>
            <w:vAlign w:val="bottom"/>
            <w:hideMark/>
          </w:tcPr>
          <w:p w14:paraId="54AC84E6" w14:textId="77777777" w:rsidR="007802D1" w:rsidRPr="007802D1" w:rsidRDefault="007802D1" w:rsidP="007802D1">
            <w:pPr>
              <w:jc w:val="right"/>
              <w:rPr>
                <w:rFonts w:eastAsia="Times New Roman"/>
              </w:rPr>
            </w:pPr>
          </w:p>
        </w:tc>
        <w:tc>
          <w:tcPr>
            <w:tcW w:w="1240" w:type="dxa"/>
            <w:tcBorders>
              <w:top w:val="nil"/>
              <w:left w:val="nil"/>
              <w:bottom w:val="nil"/>
              <w:right w:val="nil"/>
            </w:tcBorders>
            <w:noWrap/>
            <w:vAlign w:val="bottom"/>
            <w:hideMark/>
          </w:tcPr>
          <w:p w14:paraId="7973605D" w14:textId="77777777" w:rsidR="007802D1" w:rsidRPr="007802D1" w:rsidRDefault="007802D1" w:rsidP="007802D1">
            <w:pPr>
              <w:rPr>
                <w:rFonts w:ascii="Times New Roman" w:eastAsia="Times New Roman" w:hAnsi="Times New Roman" w:cs="Times New Roman"/>
              </w:rPr>
            </w:pPr>
          </w:p>
        </w:tc>
        <w:tc>
          <w:tcPr>
            <w:tcW w:w="1240" w:type="dxa"/>
            <w:tcBorders>
              <w:top w:val="nil"/>
              <w:left w:val="nil"/>
              <w:bottom w:val="nil"/>
              <w:right w:val="nil"/>
            </w:tcBorders>
            <w:noWrap/>
            <w:vAlign w:val="bottom"/>
            <w:hideMark/>
          </w:tcPr>
          <w:p w14:paraId="5A44D6CE" w14:textId="77777777" w:rsidR="007802D1" w:rsidRPr="007802D1" w:rsidRDefault="007802D1" w:rsidP="007802D1">
            <w:pPr>
              <w:rPr>
                <w:rFonts w:ascii="Times New Roman" w:eastAsia="Times New Roman" w:hAnsi="Times New Roman" w:cs="Times New Roman"/>
              </w:rPr>
            </w:pPr>
          </w:p>
        </w:tc>
        <w:tc>
          <w:tcPr>
            <w:tcW w:w="1240" w:type="dxa"/>
            <w:tcBorders>
              <w:top w:val="nil"/>
              <w:left w:val="nil"/>
              <w:bottom w:val="nil"/>
              <w:right w:val="nil"/>
            </w:tcBorders>
            <w:noWrap/>
            <w:vAlign w:val="bottom"/>
            <w:hideMark/>
          </w:tcPr>
          <w:p w14:paraId="1DF182F7" w14:textId="77777777" w:rsidR="007802D1" w:rsidRPr="007802D1" w:rsidRDefault="007802D1" w:rsidP="007802D1">
            <w:pPr>
              <w:rPr>
                <w:rFonts w:ascii="Times New Roman" w:eastAsia="Times New Roman" w:hAnsi="Times New Roman" w:cs="Times New Roman"/>
              </w:rPr>
            </w:pPr>
          </w:p>
        </w:tc>
        <w:tc>
          <w:tcPr>
            <w:tcW w:w="1240" w:type="dxa"/>
            <w:tcBorders>
              <w:top w:val="nil"/>
              <w:left w:val="nil"/>
              <w:bottom w:val="nil"/>
              <w:right w:val="nil"/>
            </w:tcBorders>
            <w:noWrap/>
            <w:vAlign w:val="bottom"/>
            <w:hideMark/>
          </w:tcPr>
          <w:p w14:paraId="553A074F" w14:textId="77777777" w:rsidR="007802D1" w:rsidRPr="007802D1" w:rsidRDefault="007802D1" w:rsidP="007802D1">
            <w:pPr>
              <w:rPr>
                <w:rFonts w:ascii="Times New Roman" w:eastAsia="Times New Roman" w:hAnsi="Times New Roman" w:cs="Times New Roman"/>
              </w:rPr>
            </w:pPr>
          </w:p>
        </w:tc>
        <w:tc>
          <w:tcPr>
            <w:tcW w:w="1240" w:type="dxa"/>
            <w:tcBorders>
              <w:top w:val="nil"/>
              <w:left w:val="nil"/>
              <w:bottom w:val="nil"/>
              <w:right w:val="nil"/>
            </w:tcBorders>
            <w:noWrap/>
            <w:vAlign w:val="bottom"/>
            <w:hideMark/>
          </w:tcPr>
          <w:p w14:paraId="2E3749C7" w14:textId="77777777" w:rsidR="007802D1" w:rsidRPr="007802D1" w:rsidRDefault="007802D1" w:rsidP="007802D1">
            <w:pPr>
              <w:rPr>
                <w:rFonts w:ascii="Times New Roman" w:eastAsia="Times New Roman" w:hAnsi="Times New Roman" w:cs="Times New Roman"/>
              </w:rPr>
            </w:pPr>
          </w:p>
        </w:tc>
      </w:tr>
      <w:tr w:rsidR="007802D1" w:rsidRPr="007802D1" w14:paraId="16F313AD" w14:textId="77777777" w:rsidTr="007802D1">
        <w:trPr>
          <w:trHeight w:val="300"/>
        </w:trPr>
        <w:tc>
          <w:tcPr>
            <w:tcW w:w="2680" w:type="dxa"/>
            <w:tcBorders>
              <w:top w:val="single" w:sz="4" w:space="0" w:color="BFBFBF"/>
              <w:left w:val="single" w:sz="4" w:space="0" w:color="BFBFBF"/>
              <w:bottom w:val="single" w:sz="4" w:space="0" w:color="BFBFBF"/>
              <w:right w:val="single" w:sz="4" w:space="0" w:color="BFBFBF"/>
            </w:tcBorders>
            <w:shd w:val="clear" w:color="2E4D7B" w:fill="1F3864"/>
            <w:noWrap/>
            <w:vAlign w:val="center"/>
            <w:hideMark/>
          </w:tcPr>
          <w:p w14:paraId="5C5FC573" w14:textId="77777777" w:rsidR="007802D1" w:rsidRPr="007802D1" w:rsidRDefault="007802D1" w:rsidP="007802D1">
            <w:pPr>
              <w:rPr>
                <w:rFonts w:eastAsia="Times New Roman"/>
                <w:b/>
                <w:bCs/>
                <w:color w:val="FFFFFF"/>
              </w:rPr>
            </w:pPr>
            <w:proofErr w:type="spellStart"/>
            <w:r w:rsidRPr="007802D1">
              <w:rPr>
                <w:rFonts w:eastAsia="Times New Roman"/>
                <w:b/>
                <w:bCs/>
                <w:color w:val="FFFFFF"/>
              </w:rPr>
              <w:t>Hypothèses</w:t>
            </w:r>
            <w:proofErr w:type="spellEnd"/>
            <w:r w:rsidRPr="007802D1">
              <w:rPr>
                <w:rFonts w:eastAsia="Times New Roman"/>
                <w:b/>
                <w:bCs/>
                <w:color w:val="FFFFFF"/>
              </w:rPr>
              <w:t xml:space="preserve"> Base</w:t>
            </w:r>
          </w:p>
        </w:tc>
        <w:tc>
          <w:tcPr>
            <w:tcW w:w="1240" w:type="dxa"/>
            <w:tcBorders>
              <w:top w:val="single" w:sz="4" w:space="0" w:color="BFBFBF"/>
              <w:left w:val="nil"/>
              <w:bottom w:val="single" w:sz="4" w:space="0" w:color="BFBFBF"/>
              <w:right w:val="single" w:sz="4" w:space="0" w:color="BFBFBF"/>
            </w:tcBorders>
            <w:shd w:val="clear" w:color="2E4D7B" w:fill="1F3864"/>
            <w:noWrap/>
            <w:vAlign w:val="center"/>
            <w:hideMark/>
          </w:tcPr>
          <w:p w14:paraId="6126BBD2" w14:textId="77777777" w:rsidR="007802D1" w:rsidRPr="007802D1" w:rsidRDefault="007802D1" w:rsidP="007802D1">
            <w:pPr>
              <w:jc w:val="center"/>
              <w:rPr>
                <w:rFonts w:eastAsia="Times New Roman"/>
                <w:b/>
                <w:bCs/>
                <w:color w:val="FFFFFF"/>
              </w:rPr>
            </w:pPr>
            <w:r w:rsidRPr="007802D1">
              <w:rPr>
                <w:rFonts w:eastAsia="Times New Roman"/>
                <w:b/>
                <w:bCs/>
                <w:color w:val="FFFFFF"/>
              </w:rPr>
              <w:t>25E</w:t>
            </w:r>
          </w:p>
        </w:tc>
        <w:tc>
          <w:tcPr>
            <w:tcW w:w="1240" w:type="dxa"/>
            <w:tcBorders>
              <w:top w:val="single" w:sz="4" w:space="0" w:color="BFBFBF"/>
              <w:left w:val="nil"/>
              <w:bottom w:val="single" w:sz="4" w:space="0" w:color="BFBFBF"/>
              <w:right w:val="single" w:sz="4" w:space="0" w:color="BFBFBF"/>
            </w:tcBorders>
            <w:shd w:val="clear" w:color="2E4D7B" w:fill="1F3864"/>
            <w:noWrap/>
            <w:vAlign w:val="center"/>
            <w:hideMark/>
          </w:tcPr>
          <w:p w14:paraId="26004879" w14:textId="77777777" w:rsidR="007802D1" w:rsidRPr="007802D1" w:rsidRDefault="007802D1" w:rsidP="007802D1">
            <w:pPr>
              <w:jc w:val="center"/>
              <w:rPr>
                <w:rFonts w:eastAsia="Times New Roman"/>
                <w:b/>
                <w:bCs/>
                <w:color w:val="FFFFFF"/>
              </w:rPr>
            </w:pPr>
            <w:r w:rsidRPr="007802D1">
              <w:rPr>
                <w:rFonts w:eastAsia="Times New Roman"/>
                <w:b/>
                <w:bCs/>
                <w:color w:val="FFFFFF"/>
              </w:rPr>
              <w:t>26E</w:t>
            </w:r>
          </w:p>
        </w:tc>
        <w:tc>
          <w:tcPr>
            <w:tcW w:w="1240" w:type="dxa"/>
            <w:tcBorders>
              <w:top w:val="single" w:sz="4" w:space="0" w:color="BFBFBF"/>
              <w:left w:val="nil"/>
              <w:bottom w:val="single" w:sz="4" w:space="0" w:color="BFBFBF"/>
              <w:right w:val="single" w:sz="4" w:space="0" w:color="BFBFBF"/>
            </w:tcBorders>
            <w:shd w:val="clear" w:color="2E4D7B" w:fill="1F3864"/>
            <w:noWrap/>
            <w:vAlign w:val="center"/>
            <w:hideMark/>
          </w:tcPr>
          <w:p w14:paraId="73E913FC" w14:textId="77777777" w:rsidR="007802D1" w:rsidRPr="007802D1" w:rsidRDefault="007802D1" w:rsidP="007802D1">
            <w:pPr>
              <w:jc w:val="center"/>
              <w:rPr>
                <w:rFonts w:eastAsia="Times New Roman"/>
                <w:b/>
                <w:bCs/>
                <w:color w:val="FFFFFF"/>
              </w:rPr>
            </w:pPr>
            <w:r w:rsidRPr="007802D1">
              <w:rPr>
                <w:rFonts w:eastAsia="Times New Roman"/>
                <w:b/>
                <w:bCs/>
                <w:color w:val="FFFFFF"/>
              </w:rPr>
              <w:t>27E</w:t>
            </w:r>
          </w:p>
        </w:tc>
        <w:tc>
          <w:tcPr>
            <w:tcW w:w="1240" w:type="dxa"/>
            <w:tcBorders>
              <w:top w:val="single" w:sz="4" w:space="0" w:color="BFBFBF"/>
              <w:left w:val="nil"/>
              <w:bottom w:val="single" w:sz="4" w:space="0" w:color="BFBFBF"/>
              <w:right w:val="single" w:sz="4" w:space="0" w:color="BFBFBF"/>
            </w:tcBorders>
            <w:shd w:val="clear" w:color="2E4D7B" w:fill="1F3864"/>
            <w:noWrap/>
            <w:vAlign w:val="center"/>
            <w:hideMark/>
          </w:tcPr>
          <w:p w14:paraId="4FB09611" w14:textId="77777777" w:rsidR="007802D1" w:rsidRPr="007802D1" w:rsidRDefault="007802D1" w:rsidP="007802D1">
            <w:pPr>
              <w:jc w:val="center"/>
              <w:rPr>
                <w:rFonts w:eastAsia="Times New Roman"/>
                <w:b/>
                <w:bCs/>
                <w:color w:val="FFFFFF"/>
              </w:rPr>
            </w:pPr>
            <w:r w:rsidRPr="007802D1">
              <w:rPr>
                <w:rFonts w:eastAsia="Times New Roman"/>
                <w:b/>
                <w:bCs/>
                <w:color w:val="FFFFFF"/>
              </w:rPr>
              <w:t>28E</w:t>
            </w:r>
          </w:p>
        </w:tc>
        <w:tc>
          <w:tcPr>
            <w:tcW w:w="1240" w:type="dxa"/>
            <w:tcBorders>
              <w:top w:val="single" w:sz="4" w:space="0" w:color="BFBFBF"/>
              <w:left w:val="nil"/>
              <w:bottom w:val="single" w:sz="4" w:space="0" w:color="BFBFBF"/>
              <w:right w:val="single" w:sz="4" w:space="0" w:color="BFBFBF"/>
            </w:tcBorders>
            <w:shd w:val="clear" w:color="2E4D7B" w:fill="1F3864"/>
            <w:noWrap/>
            <w:vAlign w:val="center"/>
            <w:hideMark/>
          </w:tcPr>
          <w:p w14:paraId="4479FD31" w14:textId="77777777" w:rsidR="007802D1" w:rsidRPr="007802D1" w:rsidRDefault="007802D1" w:rsidP="007802D1">
            <w:pPr>
              <w:jc w:val="center"/>
              <w:rPr>
                <w:rFonts w:eastAsia="Times New Roman"/>
                <w:b/>
                <w:bCs/>
                <w:color w:val="FFFFFF"/>
              </w:rPr>
            </w:pPr>
            <w:r w:rsidRPr="007802D1">
              <w:rPr>
                <w:rFonts w:eastAsia="Times New Roman"/>
                <w:b/>
                <w:bCs/>
                <w:color w:val="FFFFFF"/>
              </w:rPr>
              <w:t>29E</w:t>
            </w:r>
          </w:p>
        </w:tc>
      </w:tr>
      <w:tr w:rsidR="007802D1" w:rsidRPr="007802D1" w14:paraId="12682703" w14:textId="77777777" w:rsidTr="007802D1">
        <w:trPr>
          <w:trHeight w:val="300"/>
        </w:trPr>
        <w:tc>
          <w:tcPr>
            <w:tcW w:w="2680" w:type="dxa"/>
            <w:tcBorders>
              <w:top w:val="nil"/>
              <w:left w:val="single" w:sz="4" w:space="0" w:color="BFBFBF"/>
              <w:bottom w:val="single" w:sz="4" w:space="0" w:color="BFBFBF"/>
              <w:right w:val="single" w:sz="4" w:space="0" w:color="BFBFBF"/>
            </w:tcBorders>
            <w:shd w:val="clear" w:color="EEF4FB" w:fill="FFFFFF"/>
            <w:noWrap/>
            <w:vAlign w:val="center"/>
            <w:hideMark/>
          </w:tcPr>
          <w:p w14:paraId="06468348" w14:textId="77777777" w:rsidR="007802D1" w:rsidRPr="007802D1" w:rsidRDefault="007802D1" w:rsidP="007802D1">
            <w:pPr>
              <w:rPr>
                <w:rFonts w:eastAsia="Times New Roman"/>
                <w:color w:val="000000"/>
              </w:rPr>
            </w:pPr>
            <w:proofErr w:type="spellStart"/>
            <w:r w:rsidRPr="007802D1">
              <w:rPr>
                <w:rFonts w:eastAsia="Times New Roman"/>
                <w:color w:val="000000"/>
              </w:rPr>
              <w:t>Croissance</w:t>
            </w:r>
            <w:proofErr w:type="spellEnd"/>
            <w:r w:rsidRPr="007802D1">
              <w:rPr>
                <w:rFonts w:eastAsia="Times New Roman"/>
                <w:color w:val="000000"/>
              </w:rPr>
              <w:t xml:space="preserve"> CA (</w:t>
            </w:r>
            <w:proofErr w:type="spellStart"/>
            <w:r w:rsidRPr="007802D1">
              <w:rPr>
                <w:rFonts w:eastAsia="Times New Roman"/>
                <w:color w:val="000000"/>
              </w:rPr>
              <w:t>yoy</w:t>
            </w:r>
            <w:proofErr w:type="spellEnd"/>
            <w:r w:rsidRPr="007802D1">
              <w:rPr>
                <w:rFonts w:eastAsia="Times New Roman"/>
                <w:color w:val="000000"/>
              </w:rPr>
              <w:t>)</w:t>
            </w:r>
          </w:p>
        </w:tc>
        <w:tc>
          <w:tcPr>
            <w:tcW w:w="1240" w:type="dxa"/>
            <w:tcBorders>
              <w:top w:val="nil"/>
              <w:left w:val="nil"/>
              <w:bottom w:val="single" w:sz="4" w:space="0" w:color="BFBFBF"/>
              <w:right w:val="single" w:sz="4" w:space="0" w:color="BFBFBF"/>
            </w:tcBorders>
            <w:shd w:val="clear" w:color="EEF4FB" w:fill="FFFFFF"/>
            <w:noWrap/>
            <w:vAlign w:val="center"/>
            <w:hideMark/>
          </w:tcPr>
          <w:p w14:paraId="5A2713CE" w14:textId="77777777" w:rsidR="007802D1" w:rsidRPr="007802D1" w:rsidRDefault="007802D1" w:rsidP="007802D1">
            <w:pPr>
              <w:jc w:val="right"/>
              <w:rPr>
                <w:rFonts w:eastAsia="Times New Roman"/>
              </w:rPr>
            </w:pPr>
            <w:r w:rsidRPr="007802D1">
              <w:rPr>
                <w:rFonts w:eastAsia="Times New Roman"/>
              </w:rPr>
              <w:t>-2%</w:t>
            </w:r>
          </w:p>
        </w:tc>
        <w:tc>
          <w:tcPr>
            <w:tcW w:w="1240" w:type="dxa"/>
            <w:tcBorders>
              <w:top w:val="nil"/>
              <w:left w:val="nil"/>
              <w:bottom w:val="single" w:sz="4" w:space="0" w:color="BFBFBF"/>
              <w:right w:val="single" w:sz="4" w:space="0" w:color="BFBFBF"/>
            </w:tcBorders>
            <w:shd w:val="clear" w:color="EEF4FB" w:fill="FFFFFF"/>
            <w:noWrap/>
            <w:vAlign w:val="center"/>
            <w:hideMark/>
          </w:tcPr>
          <w:p w14:paraId="282FBDF3" w14:textId="77777777" w:rsidR="007802D1" w:rsidRPr="007802D1" w:rsidRDefault="007802D1" w:rsidP="007802D1">
            <w:pPr>
              <w:jc w:val="right"/>
              <w:rPr>
                <w:rFonts w:eastAsia="Times New Roman"/>
              </w:rPr>
            </w:pPr>
            <w:r w:rsidRPr="007802D1">
              <w:rPr>
                <w:rFonts w:eastAsia="Times New Roman"/>
              </w:rPr>
              <w:t>0%</w:t>
            </w:r>
          </w:p>
        </w:tc>
        <w:tc>
          <w:tcPr>
            <w:tcW w:w="1240" w:type="dxa"/>
            <w:tcBorders>
              <w:top w:val="nil"/>
              <w:left w:val="nil"/>
              <w:bottom w:val="single" w:sz="4" w:space="0" w:color="BFBFBF"/>
              <w:right w:val="single" w:sz="4" w:space="0" w:color="BFBFBF"/>
            </w:tcBorders>
            <w:shd w:val="clear" w:color="EEF4FB" w:fill="FFFFFF"/>
            <w:noWrap/>
            <w:vAlign w:val="center"/>
            <w:hideMark/>
          </w:tcPr>
          <w:p w14:paraId="4A96CD46" w14:textId="77777777" w:rsidR="007802D1" w:rsidRPr="007802D1" w:rsidRDefault="007802D1" w:rsidP="007802D1">
            <w:pPr>
              <w:jc w:val="right"/>
              <w:rPr>
                <w:rFonts w:eastAsia="Times New Roman"/>
              </w:rPr>
            </w:pPr>
            <w:r w:rsidRPr="007802D1">
              <w:rPr>
                <w:rFonts w:eastAsia="Times New Roman"/>
              </w:rPr>
              <w:t>1%</w:t>
            </w:r>
          </w:p>
        </w:tc>
        <w:tc>
          <w:tcPr>
            <w:tcW w:w="1240" w:type="dxa"/>
            <w:tcBorders>
              <w:top w:val="nil"/>
              <w:left w:val="nil"/>
              <w:bottom w:val="single" w:sz="4" w:space="0" w:color="BFBFBF"/>
              <w:right w:val="single" w:sz="4" w:space="0" w:color="BFBFBF"/>
            </w:tcBorders>
            <w:shd w:val="clear" w:color="EEF4FB" w:fill="FFFFFF"/>
            <w:noWrap/>
            <w:vAlign w:val="center"/>
            <w:hideMark/>
          </w:tcPr>
          <w:p w14:paraId="164DC089" w14:textId="77777777" w:rsidR="007802D1" w:rsidRPr="007802D1" w:rsidRDefault="007802D1" w:rsidP="007802D1">
            <w:pPr>
              <w:jc w:val="right"/>
              <w:rPr>
                <w:rFonts w:eastAsia="Times New Roman"/>
              </w:rPr>
            </w:pPr>
            <w:r w:rsidRPr="007802D1">
              <w:rPr>
                <w:rFonts w:eastAsia="Times New Roman"/>
              </w:rPr>
              <w:t>2%</w:t>
            </w:r>
          </w:p>
        </w:tc>
        <w:tc>
          <w:tcPr>
            <w:tcW w:w="1240" w:type="dxa"/>
            <w:tcBorders>
              <w:top w:val="nil"/>
              <w:left w:val="nil"/>
              <w:bottom w:val="single" w:sz="4" w:space="0" w:color="BFBFBF"/>
              <w:right w:val="single" w:sz="4" w:space="0" w:color="BFBFBF"/>
            </w:tcBorders>
            <w:shd w:val="clear" w:color="EEF4FB" w:fill="FFFFFF"/>
            <w:noWrap/>
            <w:vAlign w:val="center"/>
            <w:hideMark/>
          </w:tcPr>
          <w:p w14:paraId="3FE013E6" w14:textId="77777777" w:rsidR="007802D1" w:rsidRPr="007802D1" w:rsidRDefault="007802D1" w:rsidP="007802D1">
            <w:pPr>
              <w:jc w:val="right"/>
              <w:rPr>
                <w:rFonts w:eastAsia="Times New Roman"/>
              </w:rPr>
            </w:pPr>
            <w:r w:rsidRPr="007802D1">
              <w:rPr>
                <w:rFonts w:eastAsia="Times New Roman"/>
              </w:rPr>
              <w:t>2%</w:t>
            </w:r>
          </w:p>
        </w:tc>
      </w:tr>
      <w:tr w:rsidR="007802D1" w:rsidRPr="007802D1" w14:paraId="5F2F4288" w14:textId="77777777" w:rsidTr="007802D1">
        <w:trPr>
          <w:trHeight w:val="300"/>
        </w:trPr>
        <w:tc>
          <w:tcPr>
            <w:tcW w:w="2680" w:type="dxa"/>
            <w:tcBorders>
              <w:top w:val="nil"/>
              <w:left w:val="single" w:sz="4" w:space="0" w:color="BFBFBF"/>
              <w:bottom w:val="single" w:sz="4" w:space="0" w:color="BFBFBF"/>
              <w:right w:val="single" w:sz="4" w:space="0" w:color="BFBFBF"/>
            </w:tcBorders>
            <w:shd w:val="clear" w:color="EEF4FB" w:fill="F2F2F2"/>
            <w:noWrap/>
            <w:vAlign w:val="center"/>
            <w:hideMark/>
          </w:tcPr>
          <w:p w14:paraId="40AD6A5E" w14:textId="77777777" w:rsidR="007802D1" w:rsidRPr="007802D1" w:rsidRDefault="007802D1" w:rsidP="007802D1">
            <w:pPr>
              <w:rPr>
                <w:rFonts w:eastAsia="Times New Roman"/>
                <w:color w:val="000000"/>
              </w:rPr>
            </w:pPr>
            <w:r w:rsidRPr="007802D1">
              <w:rPr>
                <w:rFonts w:eastAsia="Times New Roman"/>
                <w:color w:val="000000"/>
              </w:rPr>
              <w:t>Marge EBITDA (%)</w:t>
            </w:r>
          </w:p>
        </w:tc>
        <w:tc>
          <w:tcPr>
            <w:tcW w:w="1240" w:type="dxa"/>
            <w:tcBorders>
              <w:top w:val="nil"/>
              <w:left w:val="nil"/>
              <w:bottom w:val="single" w:sz="4" w:space="0" w:color="BFBFBF"/>
              <w:right w:val="single" w:sz="4" w:space="0" w:color="BFBFBF"/>
            </w:tcBorders>
            <w:shd w:val="clear" w:color="EEF4FB" w:fill="F2F2F2"/>
            <w:noWrap/>
            <w:vAlign w:val="center"/>
            <w:hideMark/>
          </w:tcPr>
          <w:p w14:paraId="57D66E8A" w14:textId="77777777" w:rsidR="007802D1" w:rsidRPr="007802D1" w:rsidRDefault="007802D1" w:rsidP="007802D1">
            <w:pPr>
              <w:jc w:val="right"/>
              <w:rPr>
                <w:rFonts w:eastAsia="Times New Roman"/>
              </w:rPr>
            </w:pPr>
            <w:r w:rsidRPr="007802D1">
              <w:rPr>
                <w:rFonts w:eastAsia="Times New Roman"/>
              </w:rPr>
              <w:t>33%</w:t>
            </w:r>
          </w:p>
        </w:tc>
        <w:tc>
          <w:tcPr>
            <w:tcW w:w="1240" w:type="dxa"/>
            <w:tcBorders>
              <w:top w:val="nil"/>
              <w:left w:val="nil"/>
              <w:bottom w:val="single" w:sz="4" w:space="0" w:color="BFBFBF"/>
              <w:right w:val="single" w:sz="4" w:space="0" w:color="BFBFBF"/>
            </w:tcBorders>
            <w:shd w:val="clear" w:color="EEF4FB" w:fill="F2F2F2"/>
            <w:noWrap/>
            <w:vAlign w:val="center"/>
            <w:hideMark/>
          </w:tcPr>
          <w:p w14:paraId="585B8E88" w14:textId="77777777" w:rsidR="007802D1" w:rsidRPr="007802D1" w:rsidRDefault="007802D1" w:rsidP="007802D1">
            <w:pPr>
              <w:jc w:val="right"/>
              <w:rPr>
                <w:rFonts w:eastAsia="Times New Roman"/>
              </w:rPr>
            </w:pPr>
            <w:r w:rsidRPr="007802D1">
              <w:rPr>
                <w:rFonts w:eastAsia="Times New Roman"/>
              </w:rPr>
              <w:t>33%</w:t>
            </w:r>
          </w:p>
        </w:tc>
        <w:tc>
          <w:tcPr>
            <w:tcW w:w="1240" w:type="dxa"/>
            <w:tcBorders>
              <w:top w:val="nil"/>
              <w:left w:val="nil"/>
              <w:bottom w:val="single" w:sz="4" w:space="0" w:color="BFBFBF"/>
              <w:right w:val="single" w:sz="4" w:space="0" w:color="BFBFBF"/>
            </w:tcBorders>
            <w:shd w:val="clear" w:color="EEF4FB" w:fill="F2F2F2"/>
            <w:noWrap/>
            <w:vAlign w:val="center"/>
            <w:hideMark/>
          </w:tcPr>
          <w:p w14:paraId="4B77CE8C" w14:textId="77777777" w:rsidR="007802D1" w:rsidRPr="007802D1" w:rsidRDefault="007802D1" w:rsidP="007802D1">
            <w:pPr>
              <w:jc w:val="right"/>
              <w:rPr>
                <w:rFonts w:eastAsia="Times New Roman"/>
              </w:rPr>
            </w:pPr>
            <w:r w:rsidRPr="007802D1">
              <w:rPr>
                <w:rFonts w:eastAsia="Times New Roman"/>
              </w:rPr>
              <w:t>34%</w:t>
            </w:r>
          </w:p>
        </w:tc>
        <w:tc>
          <w:tcPr>
            <w:tcW w:w="1240" w:type="dxa"/>
            <w:tcBorders>
              <w:top w:val="nil"/>
              <w:left w:val="nil"/>
              <w:bottom w:val="single" w:sz="4" w:space="0" w:color="BFBFBF"/>
              <w:right w:val="single" w:sz="4" w:space="0" w:color="BFBFBF"/>
            </w:tcBorders>
            <w:shd w:val="clear" w:color="EEF4FB" w:fill="F2F2F2"/>
            <w:noWrap/>
            <w:vAlign w:val="center"/>
            <w:hideMark/>
          </w:tcPr>
          <w:p w14:paraId="4E3BB437" w14:textId="77777777" w:rsidR="007802D1" w:rsidRPr="007802D1" w:rsidRDefault="007802D1" w:rsidP="007802D1">
            <w:pPr>
              <w:jc w:val="right"/>
              <w:rPr>
                <w:rFonts w:eastAsia="Times New Roman"/>
              </w:rPr>
            </w:pPr>
            <w:r w:rsidRPr="007802D1">
              <w:rPr>
                <w:rFonts w:eastAsia="Times New Roman"/>
              </w:rPr>
              <w:t>35%</w:t>
            </w:r>
          </w:p>
        </w:tc>
        <w:tc>
          <w:tcPr>
            <w:tcW w:w="1240" w:type="dxa"/>
            <w:tcBorders>
              <w:top w:val="nil"/>
              <w:left w:val="nil"/>
              <w:bottom w:val="single" w:sz="4" w:space="0" w:color="BFBFBF"/>
              <w:right w:val="single" w:sz="4" w:space="0" w:color="BFBFBF"/>
            </w:tcBorders>
            <w:shd w:val="clear" w:color="EEF4FB" w:fill="F2F2F2"/>
            <w:noWrap/>
            <w:vAlign w:val="center"/>
            <w:hideMark/>
          </w:tcPr>
          <w:p w14:paraId="637D7646" w14:textId="77777777" w:rsidR="007802D1" w:rsidRPr="007802D1" w:rsidRDefault="007802D1" w:rsidP="007802D1">
            <w:pPr>
              <w:jc w:val="right"/>
              <w:rPr>
                <w:rFonts w:eastAsia="Times New Roman"/>
              </w:rPr>
            </w:pPr>
            <w:r w:rsidRPr="007802D1">
              <w:rPr>
                <w:rFonts w:eastAsia="Times New Roman"/>
              </w:rPr>
              <w:t>35%</w:t>
            </w:r>
          </w:p>
        </w:tc>
      </w:tr>
      <w:tr w:rsidR="007802D1" w:rsidRPr="007802D1" w14:paraId="4F96669B" w14:textId="77777777" w:rsidTr="007802D1">
        <w:trPr>
          <w:trHeight w:val="300"/>
        </w:trPr>
        <w:tc>
          <w:tcPr>
            <w:tcW w:w="2680" w:type="dxa"/>
            <w:tcBorders>
              <w:top w:val="nil"/>
              <w:left w:val="single" w:sz="4" w:space="0" w:color="BFBFBF"/>
              <w:bottom w:val="single" w:sz="4" w:space="0" w:color="BFBFBF"/>
              <w:right w:val="single" w:sz="4" w:space="0" w:color="BFBFBF"/>
            </w:tcBorders>
            <w:shd w:val="clear" w:color="EEF4FB" w:fill="FFFFFF"/>
            <w:noWrap/>
            <w:vAlign w:val="center"/>
            <w:hideMark/>
          </w:tcPr>
          <w:p w14:paraId="331832D9" w14:textId="77777777" w:rsidR="007802D1" w:rsidRPr="007802D1" w:rsidRDefault="007802D1" w:rsidP="007802D1">
            <w:pPr>
              <w:rPr>
                <w:rFonts w:eastAsia="Times New Roman"/>
                <w:color w:val="000000"/>
              </w:rPr>
            </w:pPr>
            <w:r w:rsidRPr="007802D1">
              <w:rPr>
                <w:rFonts w:eastAsia="Times New Roman"/>
                <w:color w:val="000000"/>
              </w:rPr>
              <w:t>Capex / CA (%)</w:t>
            </w:r>
          </w:p>
        </w:tc>
        <w:tc>
          <w:tcPr>
            <w:tcW w:w="1240" w:type="dxa"/>
            <w:tcBorders>
              <w:top w:val="nil"/>
              <w:left w:val="nil"/>
              <w:bottom w:val="single" w:sz="4" w:space="0" w:color="BFBFBF"/>
              <w:right w:val="single" w:sz="4" w:space="0" w:color="BFBFBF"/>
            </w:tcBorders>
            <w:shd w:val="clear" w:color="EEF4FB" w:fill="FFFFFF"/>
            <w:noWrap/>
            <w:vAlign w:val="center"/>
            <w:hideMark/>
          </w:tcPr>
          <w:p w14:paraId="426387B2" w14:textId="77777777" w:rsidR="007802D1" w:rsidRPr="007802D1" w:rsidRDefault="007802D1" w:rsidP="007802D1">
            <w:pPr>
              <w:jc w:val="right"/>
              <w:rPr>
                <w:rFonts w:eastAsia="Times New Roman"/>
              </w:rPr>
            </w:pPr>
            <w:r w:rsidRPr="007802D1">
              <w:rPr>
                <w:rFonts w:eastAsia="Times New Roman"/>
              </w:rPr>
              <w:t>20%</w:t>
            </w:r>
          </w:p>
        </w:tc>
        <w:tc>
          <w:tcPr>
            <w:tcW w:w="1240" w:type="dxa"/>
            <w:tcBorders>
              <w:top w:val="nil"/>
              <w:left w:val="nil"/>
              <w:bottom w:val="single" w:sz="4" w:space="0" w:color="BFBFBF"/>
              <w:right w:val="single" w:sz="4" w:space="0" w:color="BFBFBF"/>
            </w:tcBorders>
            <w:shd w:val="clear" w:color="EEF4FB" w:fill="FFFFFF"/>
            <w:noWrap/>
            <w:vAlign w:val="center"/>
            <w:hideMark/>
          </w:tcPr>
          <w:p w14:paraId="7F59A1D5" w14:textId="77777777" w:rsidR="007802D1" w:rsidRPr="007802D1" w:rsidRDefault="007802D1" w:rsidP="007802D1">
            <w:pPr>
              <w:jc w:val="right"/>
              <w:rPr>
                <w:rFonts w:eastAsia="Times New Roman"/>
              </w:rPr>
            </w:pPr>
            <w:r w:rsidRPr="007802D1">
              <w:rPr>
                <w:rFonts w:eastAsia="Times New Roman"/>
              </w:rPr>
              <w:t>20%</w:t>
            </w:r>
          </w:p>
        </w:tc>
        <w:tc>
          <w:tcPr>
            <w:tcW w:w="1240" w:type="dxa"/>
            <w:tcBorders>
              <w:top w:val="nil"/>
              <w:left w:val="nil"/>
              <w:bottom w:val="single" w:sz="4" w:space="0" w:color="BFBFBF"/>
              <w:right w:val="single" w:sz="4" w:space="0" w:color="BFBFBF"/>
            </w:tcBorders>
            <w:shd w:val="clear" w:color="EEF4FB" w:fill="FFFFFF"/>
            <w:noWrap/>
            <w:vAlign w:val="center"/>
            <w:hideMark/>
          </w:tcPr>
          <w:p w14:paraId="2CA27758" w14:textId="77777777" w:rsidR="007802D1" w:rsidRPr="007802D1" w:rsidRDefault="007802D1" w:rsidP="007802D1">
            <w:pPr>
              <w:jc w:val="right"/>
              <w:rPr>
                <w:rFonts w:eastAsia="Times New Roman"/>
              </w:rPr>
            </w:pPr>
            <w:r w:rsidRPr="007802D1">
              <w:rPr>
                <w:rFonts w:eastAsia="Times New Roman"/>
              </w:rPr>
              <w:t>19%</w:t>
            </w:r>
          </w:p>
        </w:tc>
        <w:tc>
          <w:tcPr>
            <w:tcW w:w="1240" w:type="dxa"/>
            <w:tcBorders>
              <w:top w:val="nil"/>
              <w:left w:val="nil"/>
              <w:bottom w:val="single" w:sz="4" w:space="0" w:color="BFBFBF"/>
              <w:right w:val="single" w:sz="4" w:space="0" w:color="BFBFBF"/>
            </w:tcBorders>
            <w:shd w:val="clear" w:color="EEF4FB" w:fill="FFFFFF"/>
            <w:noWrap/>
            <w:vAlign w:val="center"/>
            <w:hideMark/>
          </w:tcPr>
          <w:p w14:paraId="6FC93452" w14:textId="77777777" w:rsidR="007802D1" w:rsidRPr="007802D1" w:rsidRDefault="007802D1" w:rsidP="007802D1">
            <w:pPr>
              <w:jc w:val="right"/>
              <w:rPr>
                <w:rFonts w:eastAsia="Times New Roman"/>
              </w:rPr>
            </w:pPr>
            <w:r w:rsidRPr="007802D1">
              <w:rPr>
                <w:rFonts w:eastAsia="Times New Roman"/>
              </w:rPr>
              <w:t>19%</w:t>
            </w:r>
          </w:p>
        </w:tc>
        <w:tc>
          <w:tcPr>
            <w:tcW w:w="1240" w:type="dxa"/>
            <w:tcBorders>
              <w:top w:val="nil"/>
              <w:left w:val="nil"/>
              <w:bottom w:val="single" w:sz="4" w:space="0" w:color="BFBFBF"/>
              <w:right w:val="single" w:sz="4" w:space="0" w:color="BFBFBF"/>
            </w:tcBorders>
            <w:shd w:val="clear" w:color="EEF4FB" w:fill="FFFFFF"/>
            <w:noWrap/>
            <w:vAlign w:val="center"/>
            <w:hideMark/>
          </w:tcPr>
          <w:p w14:paraId="14E92753" w14:textId="77777777" w:rsidR="007802D1" w:rsidRPr="007802D1" w:rsidRDefault="007802D1" w:rsidP="007802D1">
            <w:pPr>
              <w:jc w:val="right"/>
              <w:rPr>
                <w:rFonts w:eastAsia="Times New Roman"/>
              </w:rPr>
            </w:pPr>
            <w:r w:rsidRPr="007802D1">
              <w:rPr>
                <w:rFonts w:eastAsia="Times New Roman"/>
              </w:rPr>
              <w:t>18%</w:t>
            </w:r>
          </w:p>
        </w:tc>
      </w:tr>
      <w:tr w:rsidR="007802D1" w:rsidRPr="007802D1" w14:paraId="30A07702" w14:textId="77777777" w:rsidTr="007802D1">
        <w:trPr>
          <w:trHeight w:val="300"/>
        </w:trPr>
        <w:tc>
          <w:tcPr>
            <w:tcW w:w="2680" w:type="dxa"/>
            <w:tcBorders>
              <w:top w:val="nil"/>
              <w:left w:val="nil"/>
              <w:bottom w:val="nil"/>
              <w:right w:val="nil"/>
            </w:tcBorders>
            <w:shd w:val="clear" w:color="EEF4FB" w:fill="FFFFFF"/>
            <w:noWrap/>
            <w:vAlign w:val="center"/>
            <w:hideMark/>
          </w:tcPr>
          <w:p w14:paraId="57EB1EC6" w14:textId="77777777" w:rsidR="007802D1" w:rsidRPr="007802D1" w:rsidRDefault="007802D1" w:rsidP="007802D1">
            <w:pPr>
              <w:rPr>
                <w:rFonts w:eastAsia="Times New Roman"/>
                <w:color w:val="000000"/>
              </w:rPr>
            </w:pPr>
            <w:r w:rsidRPr="007802D1">
              <w:rPr>
                <w:rFonts w:eastAsia="Times New Roman"/>
                <w:color w:val="000000"/>
              </w:rPr>
              <w:t> </w:t>
            </w:r>
          </w:p>
        </w:tc>
        <w:tc>
          <w:tcPr>
            <w:tcW w:w="1240" w:type="dxa"/>
            <w:tcBorders>
              <w:top w:val="nil"/>
              <w:left w:val="nil"/>
              <w:bottom w:val="nil"/>
              <w:right w:val="nil"/>
            </w:tcBorders>
            <w:shd w:val="clear" w:color="EEF4FB" w:fill="FFFFFF"/>
            <w:noWrap/>
            <w:vAlign w:val="center"/>
            <w:hideMark/>
          </w:tcPr>
          <w:p w14:paraId="7208834B" w14:textId="77777777" w:rsidR="007802D1" w:rsidRPr="007802D1" w:rsidRDefault="007802D1" w:rsidP="007802D1">
            <w:pPr>
              <w:jc w:val="right"/>
              <w:rPr>
                <w:rFonts w:eastAsia="Times New Roman"/>
              </w:rPr>
            </w:pPr>
            <w:r w:rsidRPr="007802D1">
              <w:rPr>
                <w:rFonts w:eastAsia="Times New Roman"/>
              </w:rPr>
              <w:t> </w:t>
            </w:r>
          </w:p>
        </w:tc>
        <w:tc>
          <w:tcPr>
            <w:tcW w:w="1240" w:type="dxa"/>
            <w:tcBorders>
              <w:top w:val="nil"/>
              <w:left w:val="nil"/>
              <w:bottom w:val="nil"/>
              <w:right w:val="nil"/>
            </w:tcBorders>
            <w:shd w:val="clear" w:color="EEF4FB" w:fill="FFFFFF"/>
            <w:noWrap/>
            <w:vAlign w:val="center"/>
            <w:hideMark/>
          </w:tcPr>
          <w:p w14:paraId="4BA1CDA1" w14:textId="77777777" w:rsidR="007802D1" w:rsidRPr="007802D1" w:rsidRDefault="007802D1" w:rsidP="007802D1">
            <w:pPr>
              <w:jc w:val="right"/>
              <w:rPr>
                <w:rFonts w:eastAsia="Times New Roman"/>
              </w:rPr>
            </w:pPr>
            <w:r w:rsidRPr="007802D1">
              <w:rPr>
                <w:rFonts w:eastAsia="Times New Roman"/>
              </w:rPr>
              <w:t> </w:t>
            </w:r>
          </w:p>
        </w:tc>
        <w:tc>
          <w:tcPr>
            <w:tcW w:w="1240" w:type="dxa"/>
            <w:tcBorders>
              <w:top w:val="nil"/>
              <w:left w:val="nil"/>
              <w:bottom w:val="nil"/>
              <w:right w:val="nil"/>
            </w:tcBorders>
            <w:shd w:val="clear" w:color="EEF4FB" w:fill="FFFFFF"/>
            <w:noWrap/>
            <w:vAlign w:val="center"/>
            <w:hideMark/>
          </w:tcPr>
          <w:p w14:paraId="195A7D38" w14:textId="77777777" w:rsidR="007802D1" w:rsidRPr="007802D1" w:rsidRDefault="007802D1" w:rsidP="007802D1">
            <w:pPr>
              <w:jc w:val="right"/>
              <w:rPr>
                <w:rFonts w:eastAsia="Times New Roman"/>
              </w:rPr>
            </w:pPr>
            <w:r w:rsidRPr="007802D1">
              <w:rPr>
                <w:rFonts w:eastAsia="Times New Roman"/>
              </w:rPr>
              <w:t> </w:t>
            </w:r>
          </w:p>
        </w:tc>
        <w:tc>
          <w:tcPr>
            <w:tcW w:w="1240" w:type="dxa"/>
            <w:tcBorders>
              <w:top w:val="nil"/>
              <w:left w:val="nil"/>
              <w:bottom w:val="nil"/>
              <w:right w:val="nil"/>
            </w:tcBorders>
            <w:shd w:val="clear" w:color="EEF4FB" w:fill="FFFFFF"/>
            <w:noWrap/>
            <w:vAlign w:val="center"/>
            <w:hideMark/>
          </w:tcPr>
          <w:p w14:paraId="3F829E1E" w14:textId="77777777" w:rsidR="007802D1" w:rsidRPr="007802D1" w:rsidRDefault="007802D1" w:rsidP="007802D1">
            <w:pPr>
              <w:jc w:val="right"/>
              <w:rPr>
                <w:rFonts w:eastAsia="Times New Roman"/>
              </w:rPr>
            </w:pPr>
            <w:r w:rsidRPr="007802D1">
              <w:rPr>
                <w:rFonts w:eastAsia="Times New Roman"/>
              </w:rPr>
              <w:t> </w:t>
            </w:r>
          </w:p>
        </w:tc>
        <w:tc>
          <w:tcPr>
            <w:tcW w:w="1240" w:type="dxa"/>
            <w:tcBorders>
              <w:top w:val="nil"/>
              <w:left w:val="nil"/>
              <w:bottom w:val="nil"/>
              <w:right w:val="nil"/>
            </w:tcBorders>
            <w:shd w:val="clear" w:color="EEF4FB" w:fill="FFFFFF"/>
            <w:noWrap/>
            <w:vAlign w:val="center"/>
            <w:hideMark/>
          </w:tcPr>
          <w:p w14:paraId="10F8B766" w14:textId="77777777" w:rsidR="007802D1" w:rsidRPr="007802D1" w:rsidRDefault="007802D1" w:rsidP="007802D1">
            <w:pPr>
              <w:jc w:val="right"/>
              <w:rPr>
                <w:rFonts w:eastAsia="Times New Roman"/>
              </w:rPr>
            </w:pPr>
            <w:r w:rsidRPr="007802D1">
              <w:rPr>
                <w:rFonts w:eastAsia="Times New Roman"/>
              </w:rPr>
              <w:t> </w:t>
            </w:r>
          </w:p>
        </w:tc>
      </w:tr>
      <w:tr w:rsidR="007802D1" w:rsidRPr="007802D1" w14:paraId="5A8F3919" w14:textId="77777777" w:rsidTr="007802D1">
        <w:trPr>
          <w:trHeight w:val="300"/>
        </w:trPr>
        <w:tc>
          <w:tcPr>
            <w:tcW w:w="2680" w:type="dxa"/>
            <w:tcBorders>
              <w:top w:val="nil"/>
              <w:left w:val="nil"/>
              <w:bottom w:val="nil"/>
              <w:right w:val="nil"/>
            </w:tcBorders>
            <w:noWrap/>
            <w:vAlign w:val="bottom"/>
            <w:hideMark/>
          </w:tcPr>
          <w:p w14:paraId="17024EFC" w14:textId="77777777" w:rsidR="007802D1" w:rsidRPr="007802D1" w:rsidRDefault="007802D1" w:rsidP="007802D1">
            <w:pPr>
              <w:jc w:val="right"/>
              <w:rPr>
                <w:rFonts w:eastAsia="Times New Roman"/>
              </w:rPr>
            </w:pPr>
          </w:p>
        </w:tc>
        <w:tc>
          <w:tcPr>
            <w:tcW w:w="1240" w:type="dxa"/>
            <w:tcBorders>
              <w:top w:val="nil"/>
              <w:left w:val="nil"/>
              <w:bottom w:val="nil"/>
              <w:right w:val="nil"/>
            </w:tcBorders>
            <w:noWrap/>
            <w:vAlign w:val="bottom"/>
            <w:hideMark/>
          </w:tcPr>
          <w:p w14:paraId="4E9CE96B" w14:textId="77777777" w:rsidR="007802D1" w:rsidRPr="007802D1" w:rsidRDefault="007802D1" w:rsidP="007802D1">
            <w:pPr>
              <w:rPr>
                <w:rFonts w:ascii="Times New Roman" w:eastAsia="Times New Roman" w:hAnsi="Times New Roman" w:cs="Times New Roman"/>
              </w:rPr>
            </w:pPr>
          </w:p>
        </w:tc>
        <w:tc>
          <w:tcPr>
            <w:tcW w:w="1240" w:type="dxa"/>
            <w:tcBorders>
              <w:top w:val="nil"/>
              <w:left w:val="nil"/>
              <w:bottom w:val="nil"/>
              <w:right w:val="nil"/>
            </w:tcBorders>
            <w:noWrap/>
            <w:vAlign w:val="bottom"/>
            <w:hideMark/>
          </w:tcPr>
          <w:p w14:paraId="74B39FD6" w14:textId="77777777" w:rsidR="007802D1" w:rsidRPr="007802D1" w:rsidRDefault="007802D1" w:rsidP="007802D1">
            <w:pPr>
              <w:rPr>
                <w:rFonts w:ascii="Times New Roman" w:eastAsia="Times New Roman" w:hAnsi="Times New Roman" w:cs="Times New Roman"/>
              </w:rPr>
            </w:pPr>
          </w:p>
        </w:tc>
        <w:tc>
          <w:tcPr>
            <w:tcW w:w="1240" w:type="dxa"/>
            <w:tcBorders>
              <w:top w:val="nil"/>
              <w:left w:val="nil"/>
              <w:bottom w:val="nil"/>
              <w:right w:val="nil"/>
            </w:tcBorders>
            <w:noWrap/>
            <w:vAlign w:val="bottom"/>
            <w:hideMark/>
          </w:tcPr>
          <w:p w14:paraId="2A07B926" w14:textId="77777777" w:rsidR="007802D1" w:rsidRPr="007802D1" w:rsidRDefault="007802D1" w:rsidP="007802D1">
            <w:pPr>
              <w:rPr>
                <w:rFonts w:ascii="Times New Roman" w:eastAsia="Times New Roman" w:hAnsi="Times New Roman" w:cs="Times New Roman"/>
              </w:rPr>
            </w:pPr>
          </w:p>
        </w:tc>
        <w:tc>
          <w:tcPr>
            <w:tcW w:w="1240" w:type="dxa"/>
            <w:tcBorders>
              <w:top w:val="nil"/>
              <w:left w:val="nil"/>
              <w:bottom w:val="nil"/>
              <w:right w:val="nil"/>
            </w:tcBorders>
            <w:noWrap/>
            <w:vAlign w:val="bottom"/>
            <w:hideMark/>
          </w:tcPr>
          <w:p w14:paraId="0556A992" w14:textId="77777777" w:rsidR="007802D1" w:rsidRPr="007802D1" w:rsidRDefault="007802D1" w:rsidP="007802D1">
            <w:pPr>
              <w:rPr>
                <w:rFonts w:ascii="Times New Roman" w:eastAsia="Times New Roman" w:hAnsi="Times New Roman" w:cs="Times New Roman"/>
              </w:rPr>
            </w:pPr>
          </w:p>
        </w:tc>
        <w:tc>
          <w:tcPr>
            <w:tcW w:w="1240" w:type="dxa"/>
            <w:tcBorders>
              <w:top w:val="nil"/>
              <w:left w:val="nil"/>
              <w:bottom w:val="nil"/>
              <w:right w:val="nil"/>
            </w:tcBorders>
            <w:noWrap/>
            <w:vAlign w:val="bottom"/>
            <w:hideMark/>
          </w:tcPr>
          <w:p w14:paraId="68B3F372" w14:textId="77777777" w:rsidR="007802D1" w:rsidRPr="007802D1" w:rsidRDefault="007802D1" w:rsidP="007802D1">
            <w:pPr>
              <w:rPr>
                <w:rFonts w:ascii="Times New Roman" w:eastAsia="Times New Roman" w:hAnsi="Times New Roman" w:cs="Times New Roman"/>
              </w:rPr>
            </w:pPr>
          </w:p>
        </w:tc>
      </w:tr>
      <w:tr w:rsidR="007802D1" w:rsidRPr="007802D1" w14:paraId="27415AD2" w14:textId="77777777" w:rsidTr="007802D1">
        <w:trPr>
          <w:trHeight w:val="300"/>
        </w:trPr>
        <w:tc>
          <w:tcPr>
            <w:tcW w:w="2680" w:type="dxa"/>
            <w:tcBorders>
              <w:top w:val="single" w:sz="4" w:space="0" w:color="BFBFBF"/>
              <w:left w:val="single" w:sz="4" w:space="0" w:color="BFBFBF"/>
              <w:bottom w:val="single" w:sz="4" w:space="0" w:color="BFBFBF"/>
              <w:right w:val="single" w:sz="4" w:space="0" w:color="BFBFBF"/>
            </w:tcBorders>
            <w:shd w:val="clear" w:color="2E4D7B" w:fill="1F3864"/>
            <w:noWrap/>
            <w:vAlign w:val="center"/>
            <w:hideMark/>
          </w:tcPr>
          <w:p w14:paraId="438E685F" w14:textId="77777777" w:rsidR="007802D1" w:rsidRPr="007802D1" w:rsidRDefault="007802D1" w:rsidP="007802D1">
            <w:pPr>
              <w:rPr>
                <w:rFonts w:eastAsia="Times New Roman"/>
                <w:b/>
                <w:bCs/>
                <w:color w:val="FFFFFF"/>
              </w:rPr>
            </w:pPr>
            <w:proofErr w:type="spellStart"/>
            <w:r w:rsidRPr="007802D1">
              <w:rPr>
                <w:rFonts w:eastAsia="Times New Roman"/>
                <w:b/>
                <w:bCs/>
                <w:color w:val="FFFFFF"/>
              </w:rPr>
              <w:t>Hypothèses</w:t>
            </w:r>
            <w:proofErr w:type="spellEnd"/>
            <w:r w:rsidRPr="007802D1">
              <w:rPr>
                <w:rFonts w:eastAsia="Times New Roman"/>
                <w:b/>
                <w:bCs/>
                <w:color w:val="FFFFFF"/>
              </w:rPr>
              <w:t xml:space="preserve"> Bull</w:t>
            </w:r>
          </w:p>
        </w:tc>
        <w:tc>
          <w:tcPr>
            <w:tcW w:w="1240" w:type="dxa"/>
            <w:tcBorders>
              <w:top w:val="single" w:sz="4" w:space="0" w:color="BFBFBF"/>
              <w:left w:val="nil"/>
              <w:bottom w:val="single" w:sz="4" w:space="0" w:color="BFBFBF"/>
              <w:right w:val="single" w:sz="4" w:space="0" w:color="BFBFBF"/>
            </w:tcBorders>
            <w:shd w:val="clear" w:color="2E4D7B" w:fill="1F3864"/>
            <w:noWrap/>
            <w:vAlign w:val="center"/>
            <w:hideMark/>
          </w:tcPr>
          <w:p w14:paraId="4946DAC1" w14:textId="77777777" w:rsidR="007802D1" w:rsidRPr="007802D1" w:rsidRDefault="007802D1" w:rsidP="007802D1">
            <w:pPr>
              <w:jc w:val="center"/>
              <w:rPr>
                <w:rFonts w:eastAsia="Times New Roman"/>
                <w:b/>
                <w:bCs/>
                <w:color w:val="FFFFFF"/>
              </w:rPr>
            </w:pPr>
            <w:r w:rsidRPr="007802D1">
              <w:rPr>
                <w:rFonts w:eastAsia="Times New Roman"/>
                <w:b/>
                <w:bCs/>
                <w:color w:val="FFFFFF"/>
              </w:rPr>
              <w:t>25E</w:t>
            </w:r>
          </w:p>
        </w:tc>
        <w:tc>
          <w:tcPr>
            <w:tcW w:w="1240" w:type="dxa"/>
            <w:tcBorders>
              <w:top w:val="single" w:sz="4" w:space="0" w:color="BFBFBF"/>
              <w:left w:val="nil"/>
              <w:bottom w:val="single" w:sz="4" w:space="0" w:color="BFBFBF"/>
              <w:right w:val="single" w:sz="4" w:space="0" w:color="BFBFBF"/>
            </w:tcBorders>
            <w:shd w:val="clear" w:color="2E4D7B" w:fill="1F3864"/>
            <w:noWrap/>
            <w:vAlign w:val="center"/>
            <w:hideMark/>
          </w:tcPr>
          <w:p w14:paraId="3E42FA93" w14:textId="77777777" w:rsidR="007802D1" w:rsidRPr="007802D1" w:rsidRDefault="007802D1" w:rsidP="007802D1">
            <w:pPr>
              <w:jc w:val="center"/>
              <w:rPr>
                <w:rFonts w:eastAsia="Times New Roman"/>
                <w:b/>
                <w:bCs/>
                <w:color w:val="FFFFFF"/>
              </w:rPr>
            </w:pPr>
            <w:r w:rsidRPr="007802D1">
              <w:rPr>
                <w:rFonts w:eastAsia="Times New Roman"/>
                <w:b/>
                <w:bCs/>
                <w:color w:val="FFFFFF"/>
              </w:rPr>
              <w:t>26E</w:t>
            </w:r>
          </w:p>
        </w:tc>
        <w:tc>
          <w:tcPr>
            <w:tcW w:w="1240" w:type="dxa"/>
            <w:tcBorders>
              <w:top w:val="single" w:sz="4" w:space="0" w:color="BFBFBF"/>
              <w:left w:val="nil"/>
              <w:bottom w:val="single" w:sz="4" w:space="0" w:color="BFBFBF"/>
              <w:right w:val="single" w:sz="4" w:space="0" w:color="BFBFBF"/>
            </w:tcBorders>
            <w:shd w:val="clear" w:color="2E4D7B" w:fill="1F3864"/>
            <w:noWrap/>
            <w:vAlign w:val="center"/>
            <w:hideMark/>
          </w:tcPr>
          <w:p w14:paraId="2A93B8CA" w14:textId="77777777" w:rsidR="007802D1" w:rsidRPr="007802D1" w:rsidRDefault="007802D1" w:rsidP="007802D1">
            <w:pPr>
              <w:jc w:val="center"/>
              <w:rPr>
                <w:rFonts w:eastAsia="Times New Roman"/>
                <w:b/>
                <w:bCs/>
                <w:color w:val="FFFFFF"/>
              </w:rPr>
            </w:pPr>
            <w:r w:rsidRPr="007802D1">
              <w:rPr>
                <w:rFonts w:eastAsia="Times New Roman"/>
                <w:b/>
                <w:bCs/>
                <w:color w:val="FFFFFF"/>
              </w:rPr>
              <w:t>27E</w:t>
            </w:r>
          </w:p>
        </w:tc>
        <w:tc>
          <w:tcPr>
            <w:tcW w:w="1240" w:type="dxa"/>
            <w:tcBorders>
              <w:top w:val="single" w:sz="4" w:space="0" w:color="BFBFBF"/>
              <w:left w:val="nil"/>
              <w:bottom w:val="single" w:sz="4" w:space="0" w:color="BFBFBF"/>
              <w:right w:val="single" w:sz="4" w:space="0" w:color="BFBFBF"/>
            </w:tcBorders>
            <w:shd w:val="clear" w:color="2E4D7B" w:fill="1F3864"/>
            <w:noWrap/>
            <w:vAlign w:val="center"/>
            <w:hideMark/>
          </w:tcPr>
          <w:p w14:paraId="0024D9A1" w14:textId="77777777" w:rsidR="007802D1" w:rsidRPr="007802D1" w:rsidRDefault="007802D1" w:rsidP="007802D1">
            <w:pPr>
              <w:jc w:val="center"/>
              <w:rPr>
                <w:rFonts w:eastAsia="Times New Roman"/>
                <w:b/>
                <w:bCs/>
                <w:color w:val="FFFFFF"/>
              </w:rPr>
            </w:pPr>
            <w:r w:rsidRPr="007802D1">
              <w:rPr>
                <w:rFonts w:eastAsia="Times New Roman"/>
                <w:b/>
                <w:bCs/>
                <w:color w:val="FFFFFF"/>
              </w:rPr>
              <w:t>28E</w:t>
            </w:r>
          </w:p>
        </w:tc>
        <w:tc>
          <w:tcPr>
            <w:tcW w:w="1240" w:type="dxa"/>
            <w:tcBorders>
              <w:top w:val="single" w:sz="4" w:space="0" w:color="BFBFBF"/>
              <w:left w:val="nil"/>
              <w:bottom w:val="single" w:sz="4" w:space="0" w:color="BFBFBF"/>
              <w:right w:val="single" w:sz="4" w:space="0" w:color="BFBFBF"/>
            </w:tcBorders>
            <w:shd w:val="clear" w:color="2E4D7B" w:fill="1F3864"/>
            <w:noWrap/>
            <w:vAlign w:val="center"/>
            <w:hideMark/>
          </w:tcPr>
          <w:p w14:paraId="20BDAA77" w14:textId="77777777" w:rsidR="007802D1" w:rsidRPr="007802D1" w:rsidRDefault="007802D1" w:rsidP="007802D1">
            <w:pPr>
              <w:jc w:val="center"/>
              <w:rPr>
                <w:rFonts w:eastAsia="Times New Roman"/>
                <w:b/>
                <w:bCs/>
                <w:color w:val="FFFFFF"/>
              </w:rPr>
            </w:pPr>
            <w:r w:rsidRPr="007802D1">
              <w:rPr>
                <w:rFonts w:eastAsia="Times New Roman"/>
                <w:b/>
                <w:bCs/>
                <w:color w:val="FFFFFF"/>
              </w:rPr>
              <w:t>29E</w:t>
            </w:r>
          </w:p>
        </w:tc>
      </w:tr>
      <w:tr w:rsidR="007802D1" w:rsidRPr="007802D1" w14:paraId="69938160" w14:textId="77777777" w:rsidTr="007802D1">
        <w:trPr>
          <w:trHeight w:val="300"/>
        </w:trPr>
        <w:tc>
          <w:tcPr>
            <w:tcW w:w="2680" w:type="dxa"/>
            <w:tcBorders>
              <w:top w:val="nil"/>
              <w:left w:val="single" w:sz="4" w:space="0" w:color="BFBFBF"/>
              <w:bottom w:val="single" w:sz="4" w:space="0" w:color="BFBFBF"/>
              <w:right w:val="single" w:sz="4" w:space="0" w:color="BFBFBF"/>
            </w:tcBorders>
            <w:shd w:val="clear" w:color="EEF4FB" w:fill="FFFFFF"/>
            <w:noWrap/>
            <w:vAlign w:val="center"/>
            <w:hideMark/>
          </w:tcPr>
          <w:p w14:paraId="1145E603" w14:textId="77777777" w:rsidR="007802D1" w:rsidRPr="007802D1" w:rsidRDefault="007802D1" w:rsidP="007802D1">
            <w:pPr>
              <w:rPr>
                <w:rFonts w:eastAsia="Times New Roman"/>
                <w:color w:val="000000"/>
              </w:rPr>
            </w:pPr>
            <w:proofErr w:type="spellStart"/>
            <w:r w:rsidRPr="007802D1">
              <w:rPr>
                <w:rFonts w:eastAsia="Times New Roman"/>
                <w:color w:val="000000"/>
              </w:rPr>
              <w:t>Croissance</w:t>
            </w:r>
            <w:proofErr w:type="spellEnd"/>
            <w:r w:rsidRPr="007802D1">
              <w:rPr>
                <w:rFonts w:eastAsia="Times New Roman"/>
                <w:color w:val="000000"/>
              </w:rPr>
              <w:t xml:space="preserve"> CA (</w:t>
            </w:r>
            <w:proofErr w:type="spellStart"/>
            <w:r w:rsidRPr="007802D1">
              <w:rPr>
                <w:rFonts w:eastAsia="Times New Roman"/>
                <w:color w:val="000000"/>
              </w:rPr>
              <w:t>yoy</w:t>
            </w:r>
            <w:proofErr w:type="spellEnd"/>
            <w:r w:rsidRPr="007802D1">
              <w:rPr>
                <w:rFonts w:eastAsia="Times New Roman"/>
                <w:color w:val="000000"/>
              </w:rPr>
              <w:t>)</w:t>
            </w:r>
          </w:p>
        </w:tc>
        <w:tc>
          <w:tcPr>
            <w:tcW w:w="1240" w:type="dxa"/>
            <w:tcBorders>
              <w:top w:val="nil"/>
              <w:left w:val="nil"/>
              <w:bottom w:val="single" w:sz="4" w:space="0" w:color="BFBFBF"/>
              <w:right w:val="single" w:sz="4" w:space="0" w:color="BFBFBF"/>
            </w:tcBorders>
            <w:shd w:val="clear" w:color="EEF4FB" w:fill="FFFFFF"/>
            <w:noWrap/>
            <w:vAlign w:val="center"/>
            <w:hideMark/>
          </w:tcPr>
          <w:p w14:paraId="4195ABA6" w14:textId="77777777" w:rsidR="007802D1" w:rsidRPr="007802D1" w:rsidRDefault="007802D1" w:rsidP="007802D1">
            <w:pPr>
              <w:jc w:val="right"/>
              <w:rPr>
                <w:rFonts w:eastAsia="Times New Roman"/>
              </w:rPr>
            </w:pPr>
            <w:r w:rsidRPr="007802D1">
              <w:rPr>
                <w:rFonts w:eastAsia="Times New Roman"/>
              </w:rPr>
              <w:t>1%</w:t>
            </w:r>
          </w:p>
        </w:tc>
        <w:tc>
          <w:tcPr>
            <w:tcW w:w="1240" w:type="dxa"/>
            <w:tcBorders>
              <w:top w:val="nil"/>
              <w:left w:val="nil"/>
              <w:bottom w:val="single" w:sz="4" w:space="0" w:color="BFBFBF"/>
              <w:right w:val="single" w:sz="4" w:space="0" w:color="BFBFBF"/>
            </w:tcBorders>
            <w:shd w:val="clear" w:color="EEF4FB" w:fill="FFFFFF"/>
            <w:noWrap/>
            <w:vAlign w:val="center"/>
            <w:hideMark/>
          </w:tcPr>
          <w:p w14:paraId="25E6DFBD" w14:textId="77777777" w:rsidR="007802D1" w:rsidRPr="007802D1" w:rsidRDefault="007802D1" w:rsidP="007802D1">
            <w:pPr>
              <w:jc w:val="right"/>
              <w:rPr>
                <w:rFonts w:eastAsia="Times New Roman"/>
              </w:rPr>
            </w:pPr>
            <w:r w:rsidRPr="007802D1">
              <w:rPr>
                <w:rFonts w:eastAsia="Times New Roman"/>
              </w:rPr>
              <w:t>2%</w:t>
            </w:r>
          </w:p>
        </w:tc>
        <w:tc>
          <w:tcPr>
            <w:tcW w:w="1240" w:type="dxa"/>
            <w:tcBorders>
              <w:top w:val="nil"/>
              <w:left w:val="nil"/>
              <w:bottom w:val="single" w:sz="4" w:space="0" w:color="BFBFBF"/>
              <w:right w:val="single" w:sz="4" w:space="0" w:color="BFBFBF"/>
            </w:tcBorders>
            <w:shd w:val="clear" w:color="EEF4FB" w:fill="FFFFFF"/>
            <w:noWrap/>
            <w:vAlign w:val="center"/>
            <w:hideMark/>
          </w:tcPr>
          <w:p w14:paraId="252226BC" w14:textId="77777777" w:rsidR="007802D1" w:rsidRPr="007802D1" w:rsidRDefault="007802D1" w:rsidP="007802D1">
            <w:pPr>
              <w:jc w:val="right"/>
              <w:rPr>
                <w:rFonts w:eastAsia="Times New Roman"/>
              </w:rPr>
            </w:pPr>
            <w:r w:rsidRPr="007802D1">
              <w:rPr>
                <w:rFonts w:eastAsia="Times New Roman"/>
              </w:rPr>
              <w:t>3%</w:t>
            </w:r>
          </w:p>
        </w:tc>
        <w:tc>
          <w:tcPr>
            <w:tcW w:w="1240" w:type="dxa"/>
            <w:tcBorders>
              <w:top w:val="nil"/>
              <w:left w:val="nil"/>
              <w:bottom w:val="single" w:sz="4" w:space="0" w:color="BFBFBF"/>
              <w:right w:val="single" w:sz="4" w:space="0" w:color="BFBFBF"/>
            </w:tcBorders>
            <w:shd w:val="clear" w:color="EEF4FB" w:fill="FFFFFF"/>
            <w:noWrap/>
            <w:vAlign w:val="center"/>
            <w:hideMark/>
          </w:tcPr>
          <w:p w14:paraId="2A34C24E" w14:textId="77777777" w:rsidR="007802D1" w:rsidRPr="007802D1" w:rsidRDefault="007802D1" w:rsidP="007802D1">
            <w:pPr>
              <w:jc w:val="right"/>
              <w:rPr>
                <w:rFonts w:eastAsia="Times New Roman"/>
              </w:rPr>
            </w:pPr>
            <w:r w:rsidRPr="007802D1">
              <w:rPr>
                <w:rFonts w:eastAsia="Times New Roman"/>
              </w:rPr>
              <w:t>3%</w:t>
            </w:r>
          </w:p>
        </w:tc>
        <w:tc>
          <w:tcPr>
            <w:tcW w:w="1240" w:type="dxa"/>
            <w:tcBorders>
              <w:top w:val="nil"/>
              <w:left w:val="nil"/>
              <w:bottom w:val="single" w:sz="4" w:space="0" w:color="BFBFBF"/>
              <w:right w:val="single" w:sz="4" w:space="0" w:color="BFBFBF"/>
            </w:tcBorders>
            <w:shd w:val="clear" w:color="EEF4FB" w:fill="FFFFFF"/>
            <w:noWrap/>
            <w:vAlign w:val="center"/>
            <w:hideMark/>
          </w:tcPr>
          <w:p w14:paraId="450EF32B" w14:textId="77777777" w:rsidR="007802D1" w:rsidRPr="007802D1" w:rsidRDefault="007802D1" w:rsidP="007802D1">
            <w:pPr>
              <w:jc w:val="right"/>
              <w:rPr>
                <w:rFonts w:eastAsia="Times New Roman"/>
              </w:rPr>
            </w:pPr>
            <w:r w:rsidRPr="007802D1">
              <w:rPr>
                <w:rFonts w:eastAsia="Times New Roman"/>
              </w:rPr>
              <w:t>3%</w:t>
            </w:r>
          </w:p>
        </w:tc>
      </w:tr>
      <w:tr w:rsidR="007802D1" w:rsidRPr="007802D1" w14:paraId="428E0283" w14:textId="77777777" w:rsidTr="007802D1">
        <w:trPr>
          <w:trHeight w:val="300"/>
        </w:trPr>
        <w:tc>
          <w:tcPr>
            <w:tcW w:w="2680" w:type="dxa"/>
            <w:tcBorders>
              <w:top w:val="nil"/>
              <w:left w:val="single" w:sz="4" w:space="0" w:color="BFBFBF"/>
              <w:bottom w:val="single" w:sz="4" w:space="0" w:color="BFBFBF"/>
              <w:right w:val="single" w:sz="4" w:space="0" w:color="BFBFBF"/>
            </w:tcBorders>
            <w:shd w:val="clear" w:color="EEF4FB" w:fill="F2F2F2"/>
            <w:noWrap/>
            <w:vAlign w:val="center"/>
            <w:hideMark/>
          </w:tcPr>
          <w:p w14:paraId="5AD72806" w14:textId="77777777" w:rsidR="007802D1" w:rsidRPr="007802D1" w:rsidRDefault="007802D1" w:rsidP="007802D1">
            <w:pPr>
              <w:rPr>
                <w:rFonts w:eastAsia="Times New Roman"/>
                <w:color w:val="000000"/>
              </w:rPr>
            </w:pPr>
            <w:r w:rsidRPr="007802D1">
              <w:rPr>
                <w:rFonts w:eastAsia="Times New Roman"/>
                <w:color w:val="000000"/>
              </w:rPr>
              <w:t>Marge EBITDA (%)</w:t>
            </w:r>
          </w:p>
        </w:tc>
        <w:tc>
          <w:tcPr>
            <w:tcW w:w="1240" w:type="dxa"/>
            <w:tcBorders>
              <w:top w:val="nil"/>
              <w:left w:val="nil"/>
              <w:bottom w:val="single" w:sz="4" w:space="0" w:color="BFBFBF"/>
              <w:right w:val="single" w:sz="4" w:space="0" w:color="BFBFBF"/>
            </w:tcBorders>
            <w:shd w:val="clear" w:color="EEF4FB" w:fill="F2F2F2"/>
            <w:noWrap/>
            <w:vAlign w:val="center"/>
            <w:hideMark/>
          </w:tcPr>
          <w:p w14:paraId="0B275A74" w14:textId="77777777" w:rsidR="007802D1" w:rsidRPr="007802D1" w:rsidRDefault="007802D1" w:rsidP="007802D1">
            <w:pPr>
              <w:jc w:val="right"/>
              <w:rPr>
                <w:rFonts w:eastAsia="Times New Roman"/>
              </w:rPr>
            </w:pPr>
            <w:r w:rsidRPr="007802D1">
              <w:rPr>
                <w:rFonts w:eastAsia="Times New Roman"/>
              </w:rPr>
              <w:t>34%</w:t>
            </w:r>
          </w:p>
        </w:tc>
        <w:tc>
          <w:tcPr>
            <w:tcW w:w="1240" w:type="dxa"/>
            <w:tcBorders>
              <w:top w:val="nil"/>
              <w:left w:val="nil"/>
              <w:bottom w:val="single" w:sz="4" w:space="0" w:color="BFBFBF"/>
              <w:right w:val="single" w:sz="4" w:space="0" w:color="BFBFBF"/>
            </w:tcBorders>
            <w:shd w:val="clear" w:color="EEF4FB" w:fill="F2F2F2"/>
            <w:noWrap/>
            <w:vAlign w:val="center"/>
            <w:hideMark/>
          </w:tcPr>
          <w:p w14:paraId="7FC5D9AC" w14:textId="77777777" w:rsidR="007802D1" w:rsidRPr="007802D1" w:rsidRDefault="007802D1" w:rsidP="007802D1">
            <w:pPr>
              <w:jc w:val="right"/>
              <w:rPr>
                <w:rFonts w:eastAsia="Times New Roman"/>
              </w:rPr>
            </w:pPr>
            <w:r w:rsidRPr="007802D1">
              <w:rPr>
                <w:rFonts w:eastAsia="Times New Roman"/>
              </w:rPr>
              <w:t>35%</w:t>
            </w:r>
          </w:p>
        </w:tc>
        <w:tc>
          <w:tcPr>
            <w:tcW w:w="1240" w:type="dxa"/>
            <w:tcBorders>
              <w:top w:val="nil"/>
              <w:left w:val="nil"/>
              <w:bottom w:val="single" w:sz="4" w:space="0" w:color="BFBFBF"/>
              <w:right w:val="single" w:sz="4" w:space="0" w:color="BFBFBF"/>
            </w:tcBorders>
            <w:shd w:val="clear" w:color="EEF4FB" w:fill="F2F2F2"/>
            <w:noWrap/>
            <w:vAlign w:val="center"/>
            <w:hideMark/>
          </w:tcPr>
          <w:p w14:paraId="643C8AE7" w14:textId="77777777" w:rsidR="007802D1" w:rsidRPr="007802D1" w:rsidRDefault="007802D1" w:rsidP="007802D1">
            <w:pPr>
              <w:jc w:val="right"/>
              <w:rPr>
                <w:rFonts w:eastAsia="Times New Roman"/>
              </w:rPr>
            </w:pPr>
            <w:r w:rsidRPr="007802D1">
              <w:rPr>
                <w:rFonts w:eastAsia="Times New Roman"/>
              </w:rPr>
              <w:t>36%</w:t>
            </w:r>
          </w:p>
        </w:tc>
        <w:tc>
          <w:tcPr>
            <w:tcW w:w="1240" w:type="dxa"/>
            <w:tcBorders>
              <w:top w:val="nil"/>
              <w:left w:val="nil"/>
              <w:bottom w:val="single" w:sz="4" w:space="0" w:color="BFBFBF"/>
              <w:right w:val="single" w:sz="4" w:space="0" w:color="BFBFBF"/>
            </w:tcBorders>
            <w:shd w:val="clear" w:color="EEF4FB" w:fill="F2F2F2"/>
            <w:noWrap/>
            <w:vAlign w:val="center"/>
            <w:hideMark/>
          </w:tcPr>
          <w:p w14:paraId="01A99DA8" w14:textId="77777777" w:rsidR="007802D1" w:rsidRPr="007802D1" w:rsidRDefault="007802D1" w:rsidP="007802D1">
            <w:pPr>
              <w:jc w:val="right"/>
              <w:rPr>
                <w:rFonts w:eastAsia="Times New Roman"/>
              </w:rPr>
            </w:pPr>
            <w:r w:rsidRPr="007802D1">
              <w:rPr>
                <w:rFonts w:eastAsia="Times New Roman"/>
              </w:rPr>
              <w:t>37%</w:t>
            </w:r>
          </w:p>
        </w:tc>
        <w:tc>
          <w:tcPr>
            <w:tcW w:w="1240" w:type="dxa"/>
            <w:tcBorders>
              <w:top w:val="nil"/>
              <w:left w:val="nil"/>
              <w:bottom w:val="single" w:sz="4" w:space="0" w:color="BFBFBF"/>
              <w:right w:val="single" w:sz="4" w:space="0" w:color="BFBFBF"/>
            </w:tcBorders>
            <w:shd w:val="clear" w:color="EEF4FB" w:fill="F2F2F2"/>
            <w:noWrap/>
            <w:vAlign w:val="center"/>
            <w:hideMark/>
          </w:tcPr>
          <w:p w14:paraId="6311F26C" w14:textId="77777777" w:rsidR="007802D1" w:rsidRPr="007802D1" w:rsidRDefault="007802D1" w:rsidP="007802D1">
            <w:pPr>
              <w:jc w:val="right"/>
              <w:rPr>
                <w:rFonts w:eastAsia="Times New Roman"/>
              </w:rPr>
            </w:pPr>
            <w:r w:rsidRPr="007802D1">
              <w:rPr>
                <w:rFonts w:eastAsia="Times New Roman"/>
              </w:rPr>
              <w:t>38%</w:t>
            </w:r>
          </w:p>
        </w:tc>
      </w:tr>
      <w:tr w:rsidR="007802D1" w:rsidRPr="007802D1" w14:paraId="281BF8C2" w14:textId="77777777" w:rsidTr="007802D1">
        <w:trPr>
          <w:trHeight w:val="300"/>
        </w:trPr>
        <w:tc>
          <w:tcPr>
            <w:tcW w:w="2680" w:type="dxa"/>
            <w:tcBorders>
              <w:top w:val="nil"/>
              <w:left w:val="single" w:sz="4" w:space="0" w:color="BFBFBF"/>
              <w:bottom w:val="single" w:sz="4" w:space="0" w:color="BFBFBF"/>
              <w:right w:val="single" w:sz="4" w:space="0" w:color="BFBFBF"/>
            </w:tcBorders>
            <w:shd w:val="clear" w:color="EEF4FB" w:fill="FFFFFF"/>
            <w:noWrap/>
            <w:vAlign w:val="center"/>
            <w:hideMark/>
          </w:tcPr>
          <w:p w14:paraId="5D032265" w14:textId="77777777" w:rsidR="007802D1" w:rsidRPr="007802D1" w:rsidRDefault="007802D1" w:rsidP="007802D1">
            <w:pPr>
              <w:rPr>
                <w:rFonts w:eastAsia="Times New Roman"/>
                <w:color w:val="000000"/>
              </w:rPr>
            </w:pPr>
            <w:r w:rsidRPr="007802D1">
              <w:rPr>
                <w:rFonts w:eastAsia="Times New Roman"/>
                <w:color w:val="000000"/>
              </w:rPr>
              <w:t>Capex / CA (%)</w:t>
            </w:r>
          </w:p>
        </w:tc>
        <w:tc>
          <w:tcPr>
            <w:tcW w:w="1240" w:type="dxa"/>
            <w:tcBorders>
              <w:top w:val="nil"/>
              <w:left w:val="nil"/>
              <w:bottom w:val="single" w:sz="4" w:space="0" w:color="BFBFBF"/>
              <w:right w:val="single" w:sz="4" w:space="0" w:color="BFBFBF"/>
            </w:tcBorders>
            <w:shd w:val="clear" w:color="EEF4FB" w:fill="FFFFFF"/>
            <w:noWrap/>
            <w:vAlign w:val="center"/>
            <w:hideMark/>
          </w:tcPr>
          <w:p w14:paraId="5C4B6F7B" w14:textId="77777777" w:rsidR="007802D1" w:rsidRPr="007802D1" w:rsidRDefault="007802D1" w:rsidP="007802D1">
            <w:pPr>
              <w:jc w:val="right"/>
              <w:rPr>
                <w:rFonts w:eastAsia="Times New Roman"/>
              </w:rPr>
            </w:pPr>
            <w:r w:rsidRPr="007802D1">
              <w:rPr>
                <w:rFonts w:eastAsia="Times New Roman"/>
              </w:rPr>
              <w:t>19%</w:t>
            </w:r>
          </w:p>
        </w:tc>
        <w:tc>
          <w:tcPr>
            <w:tcW w:w="1240" w:type="dxa"/>
            <w:tcBorders>
              <w:top w:val="nil"/>
              <w:left w:val="nil"/>
              <w:bottom w:val="single" w:sz="4" w:space="0" w:color="BFBFBF"/>
              <w:right w:val="single" w:sz="4" w:space="0" w:color="BFBFBF"/>
            </w:tcBorders>
            <w:shd w:val="clear" w:color="EEF4FB" w:fill="FFFFFF"/>
            <w:noWrap/>
            <w:vAlign w:val="center"/>
            <w:hideMark/>
          </w:tcPr>
          <w:p w14:paraId="5500A603" w14:textId="77777777" w:rsidR="007802D1" w:rsidRPr="007802D1" w:rsidRDefault="007802D1" w:rsidP="007802D1">
            <w:pPr>
              <w:jc w:val="right"/>
              <w:rPr>
                <w:rFonts w:eastAsia="Times New Roman"/>
              </w:rPr>
            </w:pPr>
            <w:r w:rsidRPr="007802D1">
              <w:rPr>
                <w:rFonts w:eastAsia="Times New Roman"/>
              </w:rPr>
              <w:t>18%</w:t>
            </w:r>
          </w:p>
        </w:tc>
        <w:tc>
          <w:tcPr>
            <w:tcW w:w="1240" w:type="dxa"/>
            <w:tcBorders>
              <w:top w:val="nil"/>
              <w:left w:val="nil"/>
              <w:bottom w:val="single" w:sz="4" w:space="0" w:color="BFBFBF"/>
              <w:right w:val="single" w:sz="4" w:space="0" w:color="BFBFBF"/>
            </w:tcBorders>
            <w:shd w:val="clear" w:color="EEF4FB" w:fill="FFFFFF"/>
            <w:noWrap/>
            <w:vAlign w:val="center"/>
            <w:hideMark/>
          </w:tcPr>
          <w:p w14:paraId="14EDA340" w14:textId="77777777" w:rsidR="007802D1" w:rsidRPr="007802D1" w:rsidRDefault="007802D1" w:rsidP="007802D1">
            <w:pPr>
              <w:jc w:val="right"/>
              <w:rPr>
                <w:rFonts w:eastAsia="Times New Roman"/>
              </w:rPr>
            </w:pPr>
            <w:r w:rsidRPr="007802D1">
              <w:rPr>
                <w:rFonts w:eastAsia="Times New Roman"/>
              </w:rPr>
              <w:t>18%</w:t>
            </w:r>
          </w:p>
        </w:tc>
        <w:tc>
          <w:tcPr>
            <w:tcW w:w="1240" w:type="dxa"/>
            <w:tcBorders>
              <w:top w:val="nil"/>
              <w:left w:val="nil"/>
              <w:bottom w:val="single" w:sz="4" w:space="0" w:color="BFBFBF"/>
              <w:right w:val="single" w:sz="4" w:space="0" w:color="BFBFBF"/>
            </w:tcBorders>
            <w:shd w:val="clear" w:color="EEF4FB" w:fill="FFFFFF"/>
            <w:noWrap/>
            <w:vAlign w:val="center"/>
            <w:hideMark/>
          </w:tcPr>
          <w:p w14:paraId="7B9C7FC6" w14:textId="77777777" w:rsidR="007802D1" w:rsidRPr="007802D1" w:rsidRDefault="007802D1" w:rsidP="007802D1">
            <w:pPr>
              <w:jc w:val="right"/>
              <w:rPr>
                <w:rFonts w:eastAsia="Times New Roman"/>
              </w:rPr>
            </w:pPr>
            <w:r w:rsidRPr="007802D1">
              <w:rPr>
                <w:rFonts w:eastAsia="Times New Roman"/>
              </w:rPr>
              <w:t>17%</w:t>
            </w:r>
          </w:p>
        </w:tc>
        <w:tc>
          <w:tcPr>
            <w:tcW w:w="1240" w:type="dxa"/>
            <w:tcBorders>
              <w:top w:val="nil"/>
              <w:left w:val="nil"/>
              <w:bottom w:val="single" w:sz="4" w:space="0" w:color="BFBFBF"/>
              <w:right w:val="single" w:sz="4" w:space="0" w:color="BFBFBF"/>
            </w:tcBorders>
            <w:shd w:val="clear" w:color="EEF4FB" w:fill="FFFFFF"/>
            <w:noWrap/>
            <w:vAlign w:val="center"/>
            <w:hideMark/>
          </w:tcPr>
          <w:p w14:paraId="3DDED19B" w14:textId="77777777" w:rsidR="007802D1" w:rsidRPr="007802D1" w:rsidRDefault="007802D1" w:rsidP="007802D1">
            <w:pPr>
              <w:jc w:val="right"/>
              <w:rPr>
                <w:rFonts w:eastAsia="Times New Roman"/>
              </w:rPr>
            </w:pPr>
            <w:r w:rsidRPr="007802D1">
              <w:rPr>
                <w:rFonts w:eastAsia="Times New Roman"/>
              </w:rPr>
              <w:t>17%</w:t>
            </w:r>
          </w:p>
        </w:tc>
      </w:tr>
    </w:tbl>
    <w:p w14:paraId="03CDE7EE" w14:textId="77777777" w:rsidR="00227667" w:rsidRDefault="00227667">
      <w:pPr>
        <w:spacing w:after="80"/>
      </w:pPr>
    </w:p>
    <w:p w14:paraId="5BF4E21D" w14:textId="77777777" w:rsidR="00023274" w:rsidRDefault="00023274">
      <w:pPr>
        <w:spacing w:after="80"/>
      </w:pPr>
    </w:p>
    <w:p w14:paraId="0D4741BF" w14:textId="77777777" w:rsidR="00227667" w:rsidRPr="00897C47" w:rsidRDefault="00000000">
      <w:pPr>
        <w:spacing w:after="120"/>
        <w:jc w:val="both"/>
        <w:rPr>
          <w:lang w:val="fr-FR"/>
        </w:rPr>
      </w:pPr>
      <w:r w:rsidRPr="00897C47">
        <w:rPr>
          <w:b/>
          <w:bCs/>
          <w:lang w:val="fr-FR"/>
        </w:rPr>
        <w:t xml:space="preserve">Scénario Bear </w:t>
      </w:r>
      <w:r w:rsidRPr="00897C47">
        <w:rPr>
          <w:lang w:val="fr-FR"/>
        </w:rPr>
        <w:t>(dégradation persistante) : Ce scénario suppose que le plan SFR Imagine ne produit pas les effets escomptés et que l'attrition commerciale se poursuit à un rythme modéré sur 2025–2026, avant une stabilisation partielle. Le chiffre d'affaires recule de 5 % en 2025, puis ralentit progressivement pour se stabiliser à −1 % en 2028–2029. La marge EBITDA reste sous pression (31–33 %) du fait d'une base abonnés contractée et d'une structure de coûts moins bien absorbée.</w:t>
      </w:r>
    </w:p>
    <w:p w14:paraId="01B1FD47" w14:textId="77777777" w:rsidR="00227667" w:rsidRPr="00897C47" w:rsidRDefault="00000000">
      <w:pPr>
        <w:spacing w:after="120"/>
        <w:jc w:val="both"/>
        <w:rPr>
          <w:lang w:val="fr-FR"/>
        </w:rPr>
      </w:pPr>
      <w:r w:rsidRPr="00897C47">
        <w:rPr>
          <w:b/>
          <w:bCs/>
          <w:lang w:val="fr-FR"/>
        </w:rPr>
        <w:t xml:space="preserve">Scénario Base </w:t>
      </w:r>
      <w:r w:rsidRPr="00897C47">
        <w:rPr>
          <w:lang w:val="fr-FR"/>
        </w:rPr>
        <w:t>(redressement progressif) : Ce scénario incorpore les bénéfices d'une stabilisation commerciale progressive à partir de 2026 (croissance nulle), portée par la montée en gamme des offres et la rétention des abonnés fibre à plus haute valeur. La croissance redevient légèrement positive à partir de 2027 (+1 à +2 %). La marge EBITDA se redresse de 33 % à 35 % sur la période, grâce à la baisse continue du Capex et à des efforts de productivité opérationnelle.</w:t>
      </w:r>
    </w:p>
    <w:p w14:paraId="244E4BCF" w14:textId="77777777" w:rsidR="00227667" w:rsidRPr="00897C47" w:rsidRDefault="00000000">
      <w:pPr>
        <w:spacing w:after="120"/>
        <w:jc w:val="both"/>
        <w:rPr>
          <w:lang w:val="fr-FR"/>
        </w:rPr>
      </w:pPr>
      <w:r w:rsidRPr="00897C47">
        <w:rPr>
          <w:b/>
          <w:bCs/>
          <w:lang w:val="fr-FR"/>
        </w:rPr>
        <w:t xml:space="preserve">Scénario Bull </w:t>
      </w:r>
      <w:r w:rsidRPr="00897C47">
        <w:rPr>
          <w:lang w:val="fr-FR"/>
        </w:rPr>
        <w:t>(rebond commercial) : Ce scénario assume un repositionnement réussi de SFR et un rebond de la croissance organique dès 2025 (+1 %), s'accélérant à +3 % à partir de 2027 porté par la montée en puissance de la 5G et des services convergents. La marge EBITDA progresse de 34 % à 38 %, bénéficiant d'économies d'échelle et d'une intensité Capex décroissante.</w:t>
      </w:r>
    </w:p>
    <w:p w14:paraId="6ABF14D2" w14:textId="77777777" w:rsidR="00227667" w:rsidRDefault="00227667">
      <w:pPr>
        <w:spacing w:after="80"/>
        <w:rPr>
          <w:lang w:val="fr-FR"/>
        </w:rPr>
      </w:pPr>
    </w:p>
    <w:p w14:paraId="753E9EA2" w14:textId="77777777" w:rsidR="007802D1" w:rsidRDefault="007802D1">
      <w:pPr>
        <w:spacing w:after="80"/>
        <w:rPr>
          <w:lang w:val="fr-FR"/>
        </w:rPr>
      </w:pPr>
    </w:p>
    <w:p w14:paraId="2A3BCC1C" w14:textId="77777777" w:rsidR="007802D1" w:rsidRDefault="007802D1">
      <w:pPr>
        <w:spacing w:after="80"/>
        <w:rPr>
          <w:lang w:val="fr-FR"/>
        </w:rPr>
      </w:pPr>
    </w:p>
    <w:p w14:paraId="7ADAC9A8" w14:textId="77777777" w:rsidR="007802D1" w:rsidRDefault="007802D1">
      <w:pPr>
        <w:spacing w:after="80"/>
        <w:rPr>
          <w:lang w:val="fr-FR"/>
        </w:rPr>
      </w:pPr>
    </w:p>
    <w:p w14:paraId="126AE09A" w14:textId="77777777" w:rsidR="007802D1" w:rsidRDefault="007802D1">
      <w:pPr>
        <w:spacing w:after="80"/>
        <w:rPr>
          <w:lang w:val="fr-FR"/>
        </w:rPr>
      </w:pPr>
    </w:p>
    <w:p w14:paraId="4773E36D" w14:textId="77777777" w:rsidR="007802D1" w:rsidRDefault="007802D1">
      <w:pPr>
        <w:spacing w:after="80"/>
        <w:rPr>
          <w:lang w:val="fr-FR"/>
        </w:rPr>
      </w:pPr>
    </w:p>
    <w:p w14:paraId="515F702D" w14:textId="77777777" w:rsidR="007802D1" w:rsidRDefault="007802D1">
      <w:pPr>
        <w:spacing w:after="80"/>
        <w:rPr>
          <w:lang w:val="fr-FR"/>
        </w:rPr>
      </w:pPr>
    </w:p>
    <w:p w14:paraId="42CE91B5" w14:textId="77777777" w:rsidR="007802D1" w:rsidRDefault="007802D1">
      <w:pPr>
        <w:spacing w:after="80"/>
        <w:rPr>
          <w:lang w:val="fr-FR"/>
        </w:rPr>
      </w:pPr>
    </w:p>
    <w:p w14:paraId="08CB2A33" w14:textId="77777777" w:rsidR="007802D1" w:rsidRDefault="007802D1">
      <w:pPr>
        <w:spacing w:after="80"/>
        <w:rPr>
          <w:lang w:val="fr-FR"/>
        </w:rPr>
      </w:pPr>
    </w:p>
    <w:p w14:paraId="33D5B537" w14:textId="77777777" w:rsidR="007802D1" w:rsidRDefault="007802D1">
      <w:pPr>
        <w:spacing w:after="80"/>
        <w:rPr>
          <w:lang w:val="fr-FR"/>
        </w:rPr>
      </w:pPr>
    </w:p>
    <w:p w14:paraId="15EB5623" w14:textId="77777777" w:rsidR="007802D1" w:rsidRPr="00897C47" w:rsidRDefault="007802D1">
      <w:pPr>
        <w:spacing w:after="80"/>
        <w:rPr>
          <w:lang w:val="fr-FR"/>
        </w:rPr>
      </w:pPr>
    </w:p>
    <w:p w14:paraId="3F8EBE37" w14:textId="77777777" w:rsidR="00227667" w:rsidRPr="00897C47" w:rsidRDefault="00000000">
      <w:pPr>
        <w:pStyle w:val="Heading3"/>
        <w:pBdr>
          <w:bottom w:val="single" w:sz="4" w:space="0" w:color="4472C4"/>
        </w:pBdr>
        <w:rPr>
          <w:lang w:val="fr-FR"/>
        </w:rPr>
      </w:pPr>
      <w:r w:rsidRPr="00897C47">
        <w:rPr>
          <w:lang w:val="fr-FR"/>
        </w:rPr>
        <w:t>5.2 Justification du WACC</w:t>
      </w:r>
    </w:p>
    <w:p w14:paraId="62241C78" w14:textId="77777777" w:rsidR="00227667" w:rsidRPr="00897C47" w:rsidRDefault="00000000">
      <w:pPr>
        <w:spacing w:after="120"/>
        <w:jc w:val="both"/>
        <w:rPr>
          <w:lang w:val="fr-FR"/>
        </w:rPr>
      </w:pPr>
      <w:r w:rsidRPr="00897C47">
        <w:rPr>
          <w:lang w:val="fr-FR"/>
        </w:rPr>
        <w:t>Le coût moyen pondéré du capital (WACC) a été estimé selon la méthode standard du MEDAF (CAPM), avec les paramètres suivants :</w:t>
      </w:r>
    </w:p>
    <w:p w14:paraId="1E65154B" w14:textId="77777777" w:rsidR="00227667" w:rsidRPr="00897C47" w:rsidRDefault="00227667">
      <w:pPr>
        <w:spacing w:after="80"/>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2"/>
        <w:gridCol w:w="1277"/>
        <w:gridCol w:w="1276"/>
        <w:gridCol w:w="1275"/>
        <w:gridCol w:w="2268"/>
      </w:tblGrid>
      <w:tr w:rsidR="00227667" w14:paraId="50004504" w14:textId="77777777" w:rsidTr="007802D1">
        <w:tc>
          <w:tcPr>
            <w:tcW w:w="3542"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26EE8EBA" w14:textId="77777777" w:rsidR="00227667" w:rsidRDefault="00000000">
            <w:pPr>
              <w:jc w:val="center"/>
            </w:pPr>
            <w:proofErr w:type="spellStart"/>
            <w:r>
              <w:rPr>
                <w:b/>
                <w:bCs/>
                <w:color w:val="FFFFFF"/>
                <w:sz w:val="18"/>
                <w:szCs w:val="18"/>
              </w:rPr>
              <w:t>Paramètre</w:t>
            </w:r>
            <w:proofErr w:type="spellEnd"/>
            <w:r>
              <w:rPr>
                <w:b/>
                <w:bCs/>
                <w:color w:val="FFFFFF"/>
                <w:sz w:val="18"/>
                <w:szCs w:val="18"/>
              </w:rPr>
              <w:t xml:space="preserve"> WACC</w:t>
            </w:r>
          </w:p>
        </w:tc>
        <w:tc>
          <w:tcPr>
            <w:tcW w:w="1277"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28E63D0E" w14:textId="77777777" w:rsidR="00227667" w:rsidRDefault="00000000">
            <w:pPr>
              <w:jc w:val="center"/>
            </w:pPr>
            <w:r>
              <w:rPr>
                <w:b/>
                <w:bCs/>
                <w:color w:val="FFFFFF"/>
                <w:sz w:val="18"/>
                <w:szCs w:val="18"/>
              </w:rPr>
              <w:t>Bear</w:t>
            </w:r>
          </w:p>
        </w:tc>
        <w:tc>
          <w:tcPr>
            <w:tcW w:w="127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23C10081" w14:textId="77777777" w:rsidR="00227667" w:rsidRDefault="00000000">
            <w:pPr>
              <w:jc w:val="center"/>
            </w:pPr>
            <w:r>
              <w:rPr>
                <w:b/>
                <w:bCs/>
                <w:color w:val="FFFFFF"/>
                <w:sz w:val="18"/>
                <w:szCs w:val="18"/>
              </w:rPr>
              <w:t>Base</w:t>
            </w:r>
          </w:p>
        </w:tc>
        <w:tc>
          <w:tcPr>
            <w:tcW w:w="1275"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3E3D141A" w14:textId="77777777" w:rsidR="00227667" w:rsidRDefault="00000000">
            <w:pPr>
              <w:jc w:val="center"/>
            </w:pPr>
            <w:r>
              <w:rPr>
                <w:b/>
                <w:bCs/>
                <w:color w:val="FFFFFF"/>
                <w:sz w:val="18"/>
                <w:szCs w:val="18"/>
              </w:rPr>
              <w:t>Bull</w:t>
            </w:r>
          </w:p>
        </w:tc>
        <w:tc>
          <w:tcPr>
            <w:tcW w:w="2268"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48390EF9" w14:textId="77777777" w:rsidR="00227667" w:rsidRDefault="00000000">
            <w:pPr>
              <w:jc w:val="center"/>
            </w:pPr>
            <w:r>
              <w:rPr>
                <w:b/>
                <w:bCs/>
                <w:color w:val="FFFFFF"/>
                <w:sz w:val="18"/>
                <w:szCs w:val="18"/>
              </w:rPr>
              <w:t>Justification</w:t>
            </w:r>
          </w:p>
        </w:tc>
      </w:tr>
      <w:tr w:rsidR="00227667" w14:paraId="5FF7A33C" w14:textId="77777777" w:rsidTr="007802D1">
        <w:tc>
          <w:tcPr>
            <w:tcW w:w="35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648D22" w14:textId="77777777" w:rsidR="00227667" w:rsidRPr="00897C47" w:rsidRDefault="00000000">
            <w:pPr>
              <w:rPr>
                <w:lang w:val="fr-FR"/>
              </w:rPr>
            </w:pPr>
            <w:r w:rsidRPr="00897C47">
              <w:rPr>
                <w:sz w:val="18"/>
                <w:szCs w:val="18"/>
                <w:lang w:val="fr-FR"/>
              </w:rPr>
              <w:t>Taux sans risque (OAT 10 ans)</w:t>
            </w:r>
          </w:p>
        </w:tc>
        <w:tc>
          <w:tcPr>
            <w:tcW w:w="127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8733A8" w14:textId="77777777" w:rsidR="00227667" w:rsidRDefault="00000000">
            <w:pPr>
              <w:jc w:val="right"/>
            </w:pPr>
            <w:r>
              <w:rPr>
                <w:sz w:val="18"/>
                <w:szCs w:val="18"/>
              </w:rPr>
              <w:t>3,50 %</w:t>
            </w:r>
          </w:p>
        </w:tc>
        <w:tc>
          <w:tcPr>
            <w:tcW w:w="1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D599DB" w14:textId="77777777" w:rsidR="00227667" w:rsidRDefault="00000000">
            <w:pPr>
              <w:jc w:val="right"/>
            </w:pPr>
            <w:r>
              <w:rPr>
                <w:sz w:val="18"/>
                <w:szCs w:val="18"/>
              </w:rPr>
              <w:t>3,50 %</w:t>
            </w:r>
          </w:p>
        </w:tc>
        <w:tc>
          <w:tcPr>
            <w:tcW w:w="127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7C6110" w14:textId="77777777" w:rsidR="00227667" w:rsidRDefault="00000000">
            <w:pPr>
              <w:jc w:val="right"/>
            </w:pPr>
            <w:r>
              <w:rPr>
                <w:sz w:val="18"/>
                <w:szCs w:val="18"/>
              </w:rPr>
              <w:t>3,50 %</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4A26A" w14:textId="77777777" w:rsidR="00227667" w:rsidRDefault="00000000">
            <w:pPr>
              <w:jc w:val="center"/>
            </w:pPr>
            <w:proofErr w:type="spellStart"/>
            <w:r>
              <w:rPr>
                <w:sz w:val="18"/>
                <w:szCs w:val="18"/>
              </w:rPr>
              <w:t>Réf</w:t>
            </w:r>
            <w:proofErr w:type="spellEnd"/>
            <w:r>
              <w:rPr>
                <w:sz w:val="18"/>
                <w:szCs w:val="18"/>
              </w:rPr>
              <w:t xml:space="preserve">. </w:t>
            </w:r>
            <w:proofErr w:type="spellStart"/>
            <w:r>
              <w:rPr>
                <w:sz w:val="18"/>
                <w:szCs w:val="18"/>
              </w:rPr>
              <w:t>avr</w:t>
            </w:r>
            <w:proofErr w:type="spellEnd"/>
            <w:r>
              <w:rPr>
                <w:sz w:val="18"/>
                <w:szCs w:val="18"/>
              </w:rPr>
              <w:t>. 2026</w:t>
            </w:r>
          </w:p>
        </w:tc>
      </w:tr>
      <w:tr w:rsidR="00227667" w14:paraId="2603CE4D" w14:textId="77777777" w:rsidTr="007802D1">
        <w:tc>
          <w:tcPr>
            <w:tcW w:w="35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E0FD6" w14:textId="77777777" w:rsidR="00227667" w:rsidRPr="00897C47" w:rsidRDefault="00000000">
            <w:pPr>
              <w:rPr>
                <w:lang w:val="fr-FR"/>
              </w:rPr>
            </w:pPr>
            <w:r w:rsidRPr="00897C47">
              <w:rPr>
                <w:sz w:val="18"/>
                <w:szCs w:val="18"/>
                <w:lang w:val="fr-FR"/>
              </w:rPr>
              <w:t>Prime de risque marché (ERP)</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252D0" w14:textId="77777777" w:rsidR="00227667" w:rsidRDefault="00000000">
            <w:pPr>
              <w:jc w:val="right"/>
            </w:pPr>
            <w:r>
              <w:rPr>
                <w:sz w:val="18"/>
                <w:szCs w:val="18"/>
              </w:rPr>
              <w:t>5,00 %</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0001A" w14:textId="77777777" w:rsidR="00227667" w:rsidRDefault="00000000">
            <w:pPr>
              <w:jc w:val="right"/>
            </w:pPr>
            <w:r>
              <w:rPr>
                <w:sz w:val="18"/>
                <w:szCs w:val="18"/>
              </w:rPr>
              <w:t>5,00 %</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0E01A" w14:textId="77777777" w:rsidR="00227667" w:rsidRDefault="00000000">
            <w:pPr>
              <w:jc w:val="right"/>
            </w:pPr>
            <w:r>
              <w:rPr>
                <w:sz w:val="18"/>
                <w:szCs w:val="18"/>
              </w:rPr>
              <w:t>5,00 %</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22C8B" w14:textId="77777777" w:rsidR="00227667" w:rsidRDefault="00000000">
            <w:pPr>
              <w:jc w:val="center"/>
            </w:pPr>
            <w:r>
              <w:rPr>
                <w:sz w:val="18"/>
                <w:szCs w:val="18"/>
              </w:rPr>
              <w:t>Damodaran EU</w:t>
            </w:r>
          </w:p>
        </w:tc>
      </w:tr>
      <w:tr w:rsidR="00227667" w14:paraId="677301DB" w14:textId="77777777" w:rsidTr="007802D1">
        <w:tc>
          <w:tcPr>
            <w:tcW w:w="35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E38E9" w14:textId="77777777" w:rsidR="00227667" w:rsidRPr="00897C47" w:rsidRDefault="00000000">
            <w:pPr>
              <w:rPr>
                <w:lang w:val="fr-FR"/>
              </w:rPr>
            </w:pPr>
            <w:r w:rsidRPr="00897C47">
              <w:rPr>
                <w:sz w:val="18"/>
                <w:szCs w:val="18"/>
                <w:lang w:val="fr-FR"/>
              </w:rPr>
              <w:t>Bêta désendetté (secteur télécom EU)</w:t>
            </w:r>
          </w:p>
        </w:tc>
        <w:tc>
          <w:tcPr>
            <w:tcW w:w="127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A33C9" w14:textId="77777777" w:rsidR="00227667" w:rsidRDefault="00000000">
            <w:pPr>
              <w:jc w:val="right"/>
            </w:pPr>
            <w:r>
              <w:rPr>
                <w:sz w:val="18"/>
                <w:szCs w:val="18"/>
              </w:rPr>
              <w:t>0,65</w:t>
            </w:r>
          </w:p>
        </w:tc>
        <w:tc>
          <w:tcPr>
            <w:tcW w:w="1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918AA5" w14:textId="77777777" w:rsidR="00227667" w:rsidRDefault="00000000">
            <w:pPr>
              <w:jc w:val="right"/>
            </w:pPr>
            <w:r>
              <w:rPr>
                <w:sz w:val="18"/>
                <w:szCs w:val="18"/>
              </w:rPr>
              <w:t>0,65</w:t>
            </w:r>
          </w:p>
        </w:tc>
        <w:tc>
          <w:tcPr>
            <w:tcW w:w="127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80DA0C" w14:textId="77777777" w:rsidR="00227667" w:rsidRDefault="00000000">
            <w:pPr>
              <w:jc w:val="right"/>
            </w:pPr>
            <w:r>
              <w:rPr>
                <w:sz w:val="18"/>
                <w:szCs w:val="18"/>
              </w:rPr>
              <w:t>0,65</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39CCCE" w14:textId="77777777" w:rsidR="00227667" w:rsidRDefault="00000000">
            <w:pPr>
              <w:jc w:val="center"/>
            </w:pPr>
            <w:proofErr w:type="spellStart"/>
            <w:r>
              <w:rPr>
                <w:sz w:val="18"/>
                <w:szCs w:val="18"/>
              </w:rPr>
              <w:t>Médiane</w:t>
            </w:r>
            <w:proofErr w:type="spellEnd"/>
            <w:r>
              <w:rPr>
                <w:sz w:val="18"/>
                <w:szCs w:val="18"/>
              </w:rPr>
              <w:t xml:space="preserve"> pairs</w:t>
            </w:r>
          </w:p>
        </w:tc>
      </w:tr>
      <w:tr w:rsidR="00227667" w14:paraId="67648017" w14:textId="77777777" w:rsidTr="007802D1">
        <w:tc>
          <w:tcPr>
            <w:tcW w:w="35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B14B0" w14:textId="77777777" w:rsidR="00227667" w:rsidRDefault="00000000">
            <w:proofErr w:type="spellStart"/>
            <w:r>
              <w:rPr>
                <w:sz w:val="18"/>
                <w:szCs w:val="18"/>
              </w:rPr>
              <w:t>Bêta</w:t>
            </w:r>
            <w:proofErr w:type="spellEnd"/>
            <w:r>
              <w:rPr>
                <w:sz w:val="18"/>
                <w:szCs w:val="18"/>
              </w:rPr>
              <w:t xml:space="preserve"> </w:t>
            </w:r>
            <w:proofErr w:type="spellStart"/>
            <w:r>
              <w:rPr>
                <w:sz w:val="18"/>
                <w:szCs w:val="18"/>
              </w:rPr>
              <w:t>ré-endetté</w:t>
            </w:r>
            <w:proofErr w:type="spellEnd"/>
            <w:r>
              <w:rPr>
                <w:sz w:val="18"/>
                <w:szCs w:val="18"/>
              </w:rPr>
              <w:t xml:space="preserve"> (Hamada)</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56D85" w14:textId="77777777" w:rsidR="00227667" w:rsidRDefault="00000000">
            <w:pPr>
              <w:jc w:val="right"/>
            </w:pPr>
            <w:r>
              <w:rPr>
                <w:sz w:val="18"/>
                <w:szCs w:val="18"/>
              </w:rPr>
              <w:t>1,38</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4908" w14:textId="77777777" w:rsidR="00227667" w:rsidRDefault="00000000">
            <w:pPr>
              <w:jc w:val="right"/>
            </w:pPr>
            <w:r>
              <w:rPr>
                <w:sz w:val="18"/>
                <w:szCs w:val="18"/>
              </w:rPr>
              <w:t>1,25</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976D9" w14:textId="77777777" w:rsidR="00227667" w:rsidRDefault="00000000">
            <w:pPr>
              <w:jc w:val="right"/>
            </w:pPr>
            <w:r>
              <w:rPr>
                <w:sz w:val="18"/>
                <w:szCs w:val="18"/>
              </w:rPr>
              <w:t>1,14</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12C7E" w14:textId="77777777" w:rsidR="00227667" w:rsidRDefault="00000000">
            <w:pPr>
              <w:jc w:val="center"/>
            </w:pPr>
            <w:r>
              <w:rPr>
                <w:sz w:val="18"/>
                <w:szCs w:val="18"/>
              </w:rPr>
              <w:t xml:space="preserve">D/E </w:t>
            </w:r>
            <w:proofErr w:type="spellStart"/>
            <w:r>
              <w:rPr>
                <w:sz w:val="18"/>
                <w:szCs w:val="18"/>
              </w:rPr>
              <w:t>cible</w:t>
            </w:r>
            <w:proofErr w:type="spellEnd"/>
          </w:p>
        </w:tc>
      </w:tr>
      <w:tr w:rsidR="00227667" w14:paraId="57595420" w14:textId="77777777" w:rsidTr="007802D1">
        <w:tc>
          <w:tcPr>
            <w:tcW w:w="35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2D38A" w14:textId="77777777" w:rsidR="00227667" w:rsidRPr="00897C47" w:rsidRDefault="00000000">
            <w:pPr>
              <w:rPr>
                <w:lang w:val="fr-FR"/>
              </w:rPr>
            </w:pPr>
            <w:r w:rsidRPr="00897C47">
              <w:rPr>
                <w:sz w:val="18"/>
                <w:szCs w:val="18"/>
                <w:lang w:val="fr-FR"/>
              </w:rPr>
              <w:t>Coût des fonds propres (</w:t>
            </w:r>
            <w:proofErr w:type="spellStart"/>
            <w:r w:rsidRPr="00897C47">
              <w:rPr>
                <w:sz w:val="18"/>
                <w:szCs w:val="18"/>
                <w:lang w:val="fr-FR"/>
              </w:rPr>
              <w:t>Ke</w:t>
            </w:r>
            <w:proofErr w:type="spellEnd"/>
            <w:r w:rsidRPr="00897C47">
              <w:rPr>
                <w:sz w:val="18"/>
                <w:szCs w:val="18"/>
                <w:lang w:val="fr-FR"/>
              </w:rPr>
              <w:t>)</w:t>
            </w:r>
          </w:p>
        </w:tc>
        <w:tc>
          <w:tcPr>
            <w:tcW w:w="127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CA1F2A" w14:textId="77777777" w:rsidR="00227667" w:rsidRDefault="00000000">
            <w:pPr>
              <w:jc w:val="right"/>
            </w:pPr>
            <w:r>
              <w:rPr>
                <w:sz w:val="18"/>
                <w:szCs w:val="18"/>
              </w:rPr>
              <w:t>10,41 %</w:t>
            </w:r>
          </w:p>
        </w:tc>
        <w:tc>
          <w:tcPr>
            <w:tcW w:w="1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1A536B" w14:textId="77777777" w:rsidR="00227667" w:rsidRDefault="00000000">
            <w:pPr>
              <w:jc w:val="right"/>
            </w:pPr>
            <w:r>
              <w:rPr>
                <w:sz w:val="18"/>
                <w:szCs w:val="18"/>
              </w:rPr>
              <w:t>9,73 %</w:t>
            </w:r>
          </w:p>
        </w:tc>
        <w:tc>
          <w:tcPr>
            <w:tcW w:w="127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EFC72" w14:textId="77777777" w:rsidR="00227667" w:rsidRDefault="00000000">
            <w:pPr>
              <w:jc w:val="right"/>
            </w:pPr>
            <w:r>
              <w:rPr>
                <w:sz w:val="18"/>
                <w:szCs w:val="18"/>
              </w:rPr>
              <w:t>9,19 %</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2793AE" w14:textId="77777777" w:rsidR="00227667" w:rsidRDefault="00000000">
            <w:pPr>
              <w:jc w:val="center"/>
            </w:pPr>
            <w:r>
              <w:rPr>
                <w:sz w:val="18"/>
                <w:szCs w:val="18"/>
              </w:rPr>
              <w:t>MEDAF</w:t>
            </w:r>
          </w:p>
        </w:tc>
      </w:tr>
      <w:tr w:rsidR="00227667" w14:paraId="49AC8DAB" w14:textId="77777777" w:rsidTr="007802D1">
        <w:tc>
          <w:tcPr>
            <w:tcW w:w="35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D2845" w14:textId="77777777" w:rsidR="00227667" w:rsidRPr="00897C47" w:rsidRDefault="00000000">
            <w:pPr>
              <w:rPr>
                <w:lang w:val="fr-FR"/>
              </w:rPr>
            </w:pPr>
            <w:r w:rsidRPr="00897C47">
              <w:rPr>
                <w:sz w:val="18"/>
                <w:szCs w:val="18"/>
                <w:lang w:val="fr-FR"/>
              </w:rPr>
              <w:t>Coût de la dette (</w:t>
            </w:r>
            <w:proofErr w:type="spellStart"/>
            <w:r w:rsidRPr="00897C47">
              <w:rPr>
                <w:sz w:val="18"/>
                <w:szCs w:val="18"/>
                <w:lang w:val="fr-FR"/>
              </w:rPr>
              <w:t>Kd</w:t>
            </w:r>
            <w:proofErr w:type="spellEnd"/>
            <w:r w:rsidRPr="00897C47">
              <w:rPr>
                <w:sz w:val="18"/>
                <w:szCs w:val="18"/>
                <w:lang w:val="fr-FR"/>
              </w:rPr>
              <w:t xml:space="preserve"> avant IS)</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E8DF9" w14:textId="77777777" w:rsidR="00227667" w:rsidRDefault="00000000">
            <w:pPr>
              <w:jc w:val="right"/>
            </w:pPr>
            <w:r>
              <w:rPr>
                <w:sz w:val="18"/>
                <w:szCs w:val="18"/>
              </w:rPr>
              <w:t>6,50 %</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9580F" w14:textId="77777777" w:rsidR="00227667" w:rsidRDefault="00000000">
            <w:pPr>
              <w:jc w:val="right"/>
            </w:pPr>
            <w:r>
              <w:rPr>
                <w:sz w:val="18"/>
                <w:szCs w:val="18"/>
              </w:rPr>
              <w:t>6,00 %</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FFAF" w14:textId="77777777" w:rsidR="00227667" w:rsidRDefault="00000000">
            <w:pPr>
              <w:jc w:val="right"/>
            </w:pPr>
            <w:r>
              <w:rPr>
                <w:sz w:val="18"/>
                <w:szCs w:val="18"/>
              </w:rPr>
              <w:t>5,50 %</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493F3" w14:textId="77777777" w:rsidR="00227667" w:rsidRDefault="00000000">
            <w:pPr>
              <w:jc w:val="center"/>
            </w:pPr>
            <w:r>
              <w:rPr>
                <w:sz w:val="18"/>
                <w:szCs w:val="18"/>
              </w:rPr>
              <w:t>Spread ~300 bp</w:t>
            </w:r>
          </w:p>
        </w:tc>
      </w:tr>
      <w:tr w:rsidR="00227667" w14:paraId="0473217A" w14:textId="77777777" w:rsidTr="007802D1">
        <w:tc>
          <w:tcPr>
            <w:tcW w:w="354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BC3C264" w14:textId="77777777" w:rsidR="00227667" w:rsidRDefault="00000000">
            <w:r>
              <w:rPr>
                <w:b/>
                <w:bCs/>
                <w:sz w:val="18"/>
                <w:szCs w:val="18"/>
              </w:rPr>
              <w:t>WACC</w:t>
            </w:r>
          </w:p>
        </w:tc>
        <w:tc>
          <w:tcPr>
            <w:tcW w:w="127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0057E66" w14:textId="77777777" w:rsidR="00227667" w:rsidRDefault="00000000">
            <w:pPr>
              <w:jc w:val="right"/>
            </w:pPr>
            <w:r>
              <w:rPr>
                <w:b/>
                <w:bCs/>
                <w:sz w:val="18"/>
                <w:szCs w:val="18"/>
              </w:rPr>
              <w:t>7,09 %</w:t>
            </w:r>
          </w:p>
        </w:tc>
        <w:tc>
          <w:tcPr>
            <w:tcW w:w="1276"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DCEE381" w14:textId="77777777" w:rsidR="00227667" w:rsidRDefault="00000000">
            <w:pPr>
              <w:jc w:val="right"/>
            </w:pPr>
            <w:r>
              <w:rPr>
                <w:b/>
                <w:bCs/>
                <w:sz w:val="18"/>
                <w:szCs w:val="18"/>
              </w:rPr>
              <w:t>6,85 %</w:t>
            </w:r>
          </w:p>
        </w:tc>
        <w:tc>
          <w:tcPr>
            <w:tcW w:w="1275"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4FA742C" w14:textId="77777777" w:rsidR="00227667" w:rsidRDefault="00000000">
            <w:pPr>
              <w:jc w:val="right"/>
            </w:pPr>
            <w:r>
              <w:rPr>
                <w:b/>
                <w:bCs/>
                <w:sz w:val="18"/>
                <w:szCs w:val="18"/>
              </w:rPr>
              <w:t>6,66 %</w:t>
            </w:r>
          </w:p>
        </w:tc>
        <w:tc>
          <w:tcPr>
            <w:tcW w:w="2268"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747B18C" w14:textId="77777777" w:rsidR="00227667" w:rsidRDefault="00227667">
            <w:pPr>
              <w:jc w:val="center"/>
            </w:pPr>
          </w:p>
        </w:tc>
      </w:tr>
    </w:tbl>
    <w:p w14:paraId="4FD80216" w14:textId="77777777" w:rsidR="00227667" w:rsidRDefault="00227667">
      <w:pPr>
        <w:spacing w:after="80"/>
      </w:pPr>
    </w:p>
    <w:p w14:paraId="2CD4EBBF" w14:textId="77777777" w:rsidR="00227667" w:rsidRPr="00897C47" w:rsidRDefault="00000000">
      <w:pPr>
        <w:spacing w:after="120"/>
        <w:jc w:val="both"/>
        <w:rPr>
          <w:lang w:val="fr-FR"/>
        </w:rPr>
      </w:pPr>
      <w:r w:rsidRPr="00897C47">
        <w:rPr>
          <w:lang w:val="fr-FR"/>
        </w:rPr>
        <w:t>Le taux sans risque retenu (3,50 %) correspond au rendement de l'OAT française à 10 ans tel qu'observé en avril 2026. La prime de risque marché de 5,0 % est conforme aux estimations de Damodaran pour l'Europe occidentale. Le bêta désendetté de 0,65 reflète le profil de risque opérationnel des opérateurs télécom européens (Orange, Deutsche Telekom, Proximus), secteur à revenus récurrents mais intensif en capital.</w:t>
      </w:r>
    </w:p>
    <w:p w14:paraId="7F64CB7C" w14:textId="64D99CC0" w:rsidR="00227667" w:rsidRPr="00897C47" w:rsidRDefault="00000000">
      <w:pPr>
        <w:spacing w:after="120"/>
        <w:jc w:val="both"/>
        <w:rPr>
          <w:lang w:val="fr-FR"/>
        </w:rPr>
      </w:pPr>
      <w:r w:rsidRPr="00897C47">
        <w:rPr>
          <w:lang w:val="fr-FR"/>
        </w:rPr>
        <w:t xml:space="preserve">Le ré-endettement du bêta par la formule de Hamada qui intègre l'effet de levier financier conduit à un bêta endetté entre 1,14 et 1,38 selon le scénario, reflétant le risque spécifiquement lié à la structure de capital post-restructuration d'Altice France. Le coût de la dette est estimé entre 5,5 % et 6,5 %, cohérent avec un spread de crédit d'environ 200 à 300 points de base sur le taux sans risque pour une entreprise émergente du statut de high </w:t>
      </w:r>
      <w:proofErr w:type="spellStart"/>
      <w:r w:rsidRPr="00897C47">
        <w:rPr>
          <w:lang w:val="fr-FR"/>
        </w:rPr>
        <w:t>yield</w:t>
      </w:r>
      <w:proofErr w:type="spellEnd"/>
      <w:r w:rsidRPr="00897C47">
        <w:rPr>
          <w:lang w:val="fr-FR"/>
        </w:rPr>
        <w:t xml:space="preserve"> </w:t>
      </w:r>
      <w:proofErr w:type="spellStart"/>
      <w:r w:rsidRPr="00897C47">
        <w:rPr>
          <w:lang w:val="fr-FR"/>
        </w:rPr>
        <w:t>distressed</w:t>
      </w:r>
      <w:proofErr w:type="spellEnd"/>
      <w:r w:rsidRPr="00897C47">
        <w:rPr>
          <w:lang w:val="fr-FR"/>
        </w:rPr>
        <w:t>.</w:t>
      </w:r>
    </w:p>
    <w:p w14:paraId="58DF50BA" w14:textId="77777777" w:rsidR="00227667" w:rsidRPr="00897C47" w:rsidRDefault="00000000">
      <w:pPr>
        <w:spacing w:before="80" w:after="80"/>
        <w:ind w:left="360"/>
        <w:rPr>
          <w:lang w:val="fr-FR"/>
        </w:rPr>
      </w:pPr>
      <w:r w:rsidRPr="00897C47">
        <w:rPr>
          <w:i/>
          <w:iCs/>
          <w:color w:val="C55A11"/>
          <w:sz w:val="18"/>
          <w:szCs w:val="18"/>
          <w:lang w:val="fr-FR"/>
        </w:rPr>
        <w:t>⚠  Remarque critique sur le WACC : la fourchette obtenue (6,66 %–7,09 %) est relativement basse au regard du profil de risque réel de SFR, qui demeure une société surendettée avec une trajectoire commerciale dégradée. Un analyste senior pourrait défendre un WACC de 7,5 %–8,5 % en argument Bear, ce qui réduirait substantiellement l'EV DCF. La sensibilité au WACC est analysée en section 8.</w:t>
      </w:r>
    </w:p>
    <w:p w14:paraId="0A28D301" w14:textId="77777777" w:rsidR="00227667" w:rsidRPr="00897C47" w:rsidRDefault="00227667">
      <w:pPr>
        <w:spacing w:after="80"/>
        <w:rPr>
          <w:lang w:val="fr-FR"/>
        </w:rPr>
      </w:pPr>
    </w:p>
    <w:p w14:paraId="5B338243" w14:textId="77777777" w:rsidR="00227667" w:rsidRPr="00897C47" w:rsidRDefault="00000000">
      <w:pPr>
        <w:pStyle w:val="Heading3"/>
        <w:pBdr>
          <w:bottom w:val="single" w:sz="4" w:space="0" w:color="4472C4"/>
        </w:pBdr>
        <w:rPr>
          <w:lang w:val="fr-FR"/>
        </w:rPr>
      </w:pPr>
      <w:r w:rsidRPr="00897C47">
        <w:rPr>
          <w:lang w:val="fr-FR"/>
        </w:rPr>
        <w:t>5.3 Valeur terminale</w:t>
      </w:r>
    </w:p>
    <w:p w14:paraId="62192752" w14:textId="77777777" w:rsidR="00227667" w:rsidRPr="00897C47" w:rsidRDefault="00000000">
      <w:pPr>
        <w:spacing w:after="120"/>
        <w:jc w:val="both"/>
        <w:rPr>
          <w:lang w:val="fr-FR"/>
        </w:rPr>
      </w:pPr>
      <w:r w:rsidRPr="00897C47">
        <w:rPr>
          <w:lang w:val="fr-FR"/>
        </w:rPr>
        <w:t>La valeur terminale a été calculée selon le modèle de Gordon-Shapiro (croissance à l'infini) en appliquant un taux de croissance perpétuel (g) de 1,5 %. Ce taux est retenu comme représentatif de la croissance nominale long terme du secteur télécom en Europe, cohérent avec une inflation cible de 2 % atténuée par une saturation du marché. Un taux de 1,5 % constitue l'hypothèse centrale standard dans les modèles télécom européens, bien qu'il puisse être contesté dans un sens comme dans l'autre.</w:t>
      </w:r>
    </w:p>
    <w:p w14:paraId="7A064C9A" w14:textId="77777777" w:rsidR="00227667" w:rsidRPr="00897C47" w:rsidRDefault="00000000">
      <w:pPr>
        <w:spacing w:after="120"/>
        <w:jc w:val="both"/>
        <w:rPr>
          <w:lang w:val="fr-FR"/>
        </w:rPr>
      </w:pPr>
      <w:r w:rsidRPr="00897C47">
        <w:rPr>
          <w:lang w:val="fr-FR"/>
        </w:rPr>
        <w:t>La valeur terminale représente respectivement 78 %, 80 % et 81 % de l'Enterprise Value totale dans les scénarios Bear, Base et Bull. Cette concentration de la valeur dans le terminal est caractéristique des secteurs à revenus récurrents et capital-intensifs, et implique que les résultats du DCF sont très sensibles aux deux paramètres de la valeur terminale : g et WACC. Tout écart de 50 points de base sur l'un ou l'autre de ces paramètres peut modifier l'EV de plusieurs milliards d'euros.</w:t>
      </w:r>
    </w:p>
    <w:p w14:paraId="5EB5ABA6" w14:textId="77777777" w:rsidR="00227667" w:rsidRPr="00897C47" w:rsidRDefault="00000000">
      <w:pPr>
        <w:rPr>
          <w:lang w:val="fr-FR"/>
        </w:rPr>
      </w:pPr>
      <w:r w:rsidRPr="00897C47">
        <w:rPr>
          <w:lang w:val="fr-FR"/>
        </w:rPr>
        <w:br w:type="page"/>
      </w:r>
    </w:p>
    <w:p w14:paraId="7A86FB4F" w14:textId="77777777" w:rsidR="00227667" w:rsidRPr="00897C47" w:rsidRDefault="00000000">
      <w:pPr>
        <w:pStyle w:val="Heading1"/>
        <w:shd w:val="clear" w:color="auto" w:fill="1F3864"/>
        <w:ind w:left="200"/>
        <w:rPr>
          <w:lang w:val="fr-FR"/>
        </w:rPr>
      </w:pPr>
      <w:r w:rsidRPr="00897C47">
        <w:rPr>
          <w:lang w:val="fr-FR"/>
        </w:rPr>
        <w:lastRenderedPageBreak/>
        <w:t>6. Méthodologie de valorisation</w:t>
      </w:r>
    </w:p>
    <w:p w14:paraId="2763F724" w14:textId="77777777" w:rsidR="00227667" w:rsidRPr="00897C47" w:rsidRDefault="00227667">
      <w:pPr>
        <w:spacing w:after="80"/>
        <w:rPr>
          <w:lang w:val="fr-FR"/>
        </w:rPr>
      </w:pPr>
    </w:p>
    <w:p w14:paraId="410CFA38" w14:textId="5AE0256D" w:rsidR="00227667" w:rsidRPr="00897C47" w:rsidRDefault="00000000">
      <w:pPr>
        <w:pStyle w:val="Heading3"/>
        <w:pBdr>
          <w:bottom w:val="single" w:sz="4" w:space="0" w:color="4472C4"/>
        </w:pBdr>
        <w:rPr>
          <w:lang w:val="fr-FR"/>
        </w:rPr>
      </w:pPr>
      <w:r w:rsidRPr="00897C47">
        <w:rPr>
          <w:lang w:val="fr-FR"/>
        </w:rPr>
        <w:t xml:space="preserve">6.1 Méthode DCF </w:t>
      </w:r>
      <w:r w:rsidR="00A22A69">
        <w:rPr>
          <w:lang w:val="fr-FR"/>
        </w:rPr>
        <w:t xml:space="preserve">- </w:t>
      </w:r>
      <w:r w:rsidRPr="00897C47">
        <w:rPr>
          <w:lang w:val="fr-FR"/>
        </w:rPr>
        <w:t>Principes et résultats</w:t>
      </w:r>
    </w:p>
    <w:p w14:paraId="29E7FD87" w14:textId="77777777" w:rsidR="00227667" w:rsidRPr="00897C47" w:rsidRDefault="00000000">
      <w:pPr>
        <w:spacing w:after="120"/>
        <w:jc w:val="both"/>
        <w:rPr>
          <w:lang w:val="fr-FR"/>
        </w:rPr>
      </w:pPr>
      <w:r w:rsidRPr="00897C47">
        <w:rPr>
          <w:lang w:val="fr-FR"/>
        </w:rPr>
        <w:t>La méthode d'actualisation des flux de trésorerie disponibles (DCF) constitue la référence conceptuelle de la valorisation intrinsèque. Elle repose sur le principe selon lequel la valeur d'une entreprise est égale à la somme de tous les flux de trésorerie qu'elle génèrera dans le futur, ramenés à leur valeur présente par l'application d'un taux d'actualisation reflétant le coût du capital.</w:t>
      </w:r>
    </w:p>
    <w:p w14:paraId="43F5ECF3" w14:textId="77777777" w:rsidR="00227667" w:rsidRPr="00897C47" w:rsidRDefault="00000000">
      <w:pPr>
        <w:spacing w:after="120"/>
        <w:jc w:val="both"/>
        <w:rPr>
          <w:lang w:val="fr-FR"/>
        </w:rPr>
      </w:pPr>
      <w:r w:rsidRPr="00897C47">
        <w:rPr>
          <w:lang w:val="fr-FR"/>
        </w:rPr>
        <w:t>Dans la présente note, le flux de trésorerie disponible pour la firme (FCFF) est défini comme suit :</w:t>
      </w:r>
    </w:p>
    <w:p w14:paraId="4C8FF600" w14:textId="77777777" w:rsidR="00227667" w:rsidRPr="00897C47" w:rsidRDefault="00000000">
      <w:pPr>
        <w:spacing w:after="120"/>
        <w:ind w:left="720"/>
        <w:jc w:val="both"/>
        <w:rPr>
          <w:lang w:val="fr-FR"/>
        </w:rPr>
      </w:pPr>
      <w:r w:rsidRPr="00897C47">
        <w:rPr>
          <w:b/>
          <w:bCs/>
          <w:lang w:val="fr-FR"/>
        </w:rPr>
        <w:t>FCFF = EBITDA + Capex + Variation BFR + Impôts sur l'EBIT</w:t>
      </w:r>
    </w:p>
    <w:p w14:paraId="49DD4207" w14:textId="77777777" w:rsidR="00227667" w:rsidRPr="00897C47" w:rsidRDefault="00000000">
      <w:pPr>
        <w:spacing w:after="120"/>
        <w:jc w:val="both"/>
        <w:rPr>
          <w:lang w:val="fr-FR"/>
        </w:rPr>
      </w:pPr>
      <w:r w:rsidRPr="00897C47">
        <w:rPr>
          <w:lang w:val="fr-FR"/>
        </w:rPr>
        <w:t>Cette définition simplifiée, cohérente avec une approche M&amp;A pratique, neutralise le D&amp;A en partant de l'EBITDA plutôt que du résultat net. Les impôts sont calculés sur l'EBIT normalisé en appliquant le taux d'IS de 25 %. La valeur terminale est additionnée aux FCFF actualisés sur la période de projection de cinq ans pour obtenir l'Enterprise Value.</w:t>
      </w:r>
    </w:p>
    <w:p w14:paraId="483AF330" w14:textId="77777777" w:rsidR="00227667" w:rsidRPr="00897C47" w:rsidRDefault="00227667">
      <w:pPr>
        <w:spacing w:after="80"/>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128"/>
        <w:gridCol w:w="2126"/>
        <w:gridCol w:w="1984"/>
      </w:tblGrid>
      <w:tr w:rsidR="00227667" w14:paraId="5988211F" w14:textId="77777777" w:rsidTr="00A22A69">
        <w:tc>
          <w:tcPr>
            <w:tcW w:w="3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189060D1" w14:textId="77777777" w:rsidR="00227667" w:rsidRDefault="00000000">
            <w:pPr>
              <w:jc w:val="center"/>
            </w:pPr>
            <w:proofErr w:type="spellStart"/>
            <w:r>
              <w:rPr>
                <w:b/>
                <w:bCs/>
                <w:color w:val="FFFFFF"/>
                <w:sz w:val="18"/>
                <w:szCs w:val="18"/>
              </w:rPr>
              <w:t>Résultats</w:t>
            </w:r>
            <w:proofErr w:type="spellEnd"/>
            <w:r>
              <w:rPr>
                <w:b/>
                <w:bCs/>
                <w:color w:val="FFFFFF"/>
                <w:sz w:val="18"/>
                <w:szCs w:val="18"/>
              </w:rPr>
              <w:t xml:space="preserve"> DCF (€m)</w:t>
            </w:r>
          </w:p>
        </w:tc>
        <w:tc>
          <w:tcPr>
            <w:tcW w:w="2128"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75DEE65F" w14:textId="77777777" w:rsidR="00227667" w:rsidRDefault="00000000">
            <w:pPr>
              <w:jc w:val="center"/>
            </w:pPr>
            <w:r>
              <w:rPr>
                <w:b/>
                <w:bCs/>
                <w:color w:val="FFFFFF"/>
                <w:sz w:val="18"/>
                <w:szCs w:val="18"/>
              </w:rPr>
              <w:t>Bear</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0338D06A" w14:textId="77777777" w:rsidR="00227667" w:rsidRDefault="00000000">
            <w:pPr>
              <w:jc w:val="center"/>
            </w:pPr>
            <w:r>
              <w:rPr>
                <w:b/>
                <w:bCs/>
                <w:color w:val="FFFFFF"/>
                <w:sz w:val="18"/>
                <w:szCs w:val="18"/>
              </w:rPr>
              <w:t>Base</w:t>
            </w:r>
          </w:p>
        </w:tc>
        <w:tc>
          <w:tcPr>
            <w:tcW w:w="1984"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35A01666" w14:textId="77777777" w:rsidR="00227667" w:rsidRDefault="00000000">
            <w:pPr>
              <w:jc w:val="center"/>
            </w:pPr>
            <w:r>
              <w:rPr>
                <w:b/>
                <w:bCs/>
                <w:color w:val="FFFFFF"/>
                <w:sz w:val="18"/>
                <w:szCs w:val="18"/>
              </w:rPr>
              <w:t>Bull</w:t>
            </w:r>
          </w:p>
        </w:tc>
      </w:tr>
      <w:tr w:rsidR="00227667" w14:paraId="054B63C1" w14:textId="77777777" w:rsidTr="00A22A69">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B797A" w14:textId="77777777" w:rsidR="00227667" w:rsidRDefault="00000000">
            <w:r>
              <w:rPr>
                <w:sz w:val="18"/>
                <w:szCs w:val="18"/>
              </w:rPr>
              <w:t xml:space="preserve">WACC </w:t>
            </w:r>
            <w:proofErr w:type="spellStart"/>
            <w:r>
              <w:rPr>
                <w:sz w:val="18"/>
                <w:szCs w:val="18"/>
              </w:rPr>
              <w:t>retenu</w:t>
            </w:r>
            <w:proofErr w:type="spellEnd"/>
          </w:p>
        </w:tc>
        <w:tc>
          <w:tcPr>
            <w:tcW w:w="21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2027A4" w14:textId="77777777" w:rsidR="00227667" w:rsidRDefault="00000000">
            <w:pPr>
              <w:jc w:val="right"/>
            </w:pPr>
            <w:r>
              <w:rPr>
                <w:sz w:val="18"/>
                <w:szCs w:val="18"/>
              </w:rPr>
              <w:t>7,09 %</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9DB51E" w14:textId="77777777" w:rsidR="00227667" w:rsidRDefault="00000000">
            <w:pPr>
              <w:jc w:val="right"/>
            </w:pPr>
            <w:r>
              <w:rPr>
                <w:sz w:val="18"/>
                <w:szCs w:val="18"/>
              </w:rPr>
              <w:t>6,85 %</w:t>
            </w:r>
          </w:p>
        </w:tc>
        <w:tc>
          <w:tcPr>
            <w:tcW w:w="19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A012A" w14:textId="77777777" w:rsidR="00227667" w:rsidRDefault="00000000">
            <w:pPr>
              <w:jc w:val="right"/>
            </w:pPr>
            <w:r>
              <w:rPr>
                <w:sz w:val="18"/>
                <w:szCs w:val="18"/>
              </w:rPr>
              <w:t>6,66 %</w:t>
            </w:r>
          </w:p>
        </w:tc>
      </w:tr>
      <w:tr w:rsidR="00227667" w14:paraId="7403E90A" w14:textId="77777777" w:rsidTr="00A22A69">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E9F22" w14:textId="77777777" w:rsidR="00227667" w:rsidRDefault="00000000">
            <w:r>
              <w:rPr>
                <w:sz w:val="18"/>
                <w:szCs w:val="18"/>
              </w:rPr>
              <w:t>Σ PV(FCFF) 2025–2029</w:t>
            </w:r>
          </w:p>
        </w:tc>
        <w:tc>
          <w:tcPr>
            <w:tcW w:w="2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BA1C8" w14:textId="77777777" w:rsidR="00227667" w:rsidRDefault="00000000">
            <w:pPr>
              <w:jc w:val="right"/>
            </w:pPr>
            <w:r>
              <w:rPr>
                <w:sz w:val="18"/>
                <w:szCs w:val="18"/>
              </w:rPr>
              <w:t>3 916</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A6BF8" w14:textId="77777777" w:rsidR="00227667" w:rsidRDefault="00000000">
            <w:pPr>
              <w:jc w:val="right"/>
            </w:pPr>
            <w:r>
              <w:rPr>
                <w:sz w:val="18"/>
                <w:szCs w:val="18"/>
              </w:rPr>
              <w:t>5 383</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CDBA9" w14:textId="77777777" w:rsidR="00227667" w:rsidRDefault="00000000">
            <w:pPr>
              <w:jc w:val="right"/>
            </w:pPr>
            <w:r>
              <w:rPr>
                <w:sz w:val="18"/>
                <w:szCs w:val="18"/>
              </w:rPr>
              <w:t>6 904</w:t>
            </w:r>
          </w:p>
        </w:tc>
      </w:tr>
      <w:tr w:rsidR="00227667" w14:paraId="58A2BA2C" w14:textId="77777777" w:rsidTr="00A22A69">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00E35" w14:textId="77777777" w:rsidR="00227667" w:rsidRDefault="00000000">
            <w:r>
              <w:rPr>
                <w:sz w:val="18"/>
                <w:szCs w:val="18"/>
              </w:rPr>
              <w:t xml:space="preserve">Valeur </w:t>
            </w:r>
            <w:proofErr w:type="spellStart"/>
            <w:r>
              <w:rPr>
                <w:sz w:val="18"/>
                <w:szCs w:val="18"/>
              </w:rPr>
              <w:t>terminale</w:t>
            </w:r>
            <w:proofErr w:type="spellEnd"/>
            <w:r>
              <w:rPr>
                <w:sz w:val="18"/>
                <w:szCs w:val="18"/>
              </w:rPr>
              <w:t xml:space="preserve"> </w:t>
            </w:r>
            <w:proofErr w:type="spellStart"/>
            <w:r>
              <w:rPr>
                <w:sz w:val="18"/>
                <w:szCs w:val="18"/>
              </w:rPr>
              <w:t>actualisée</w:t>
            </w:r>
            <w:proofErr w:type="spellEnd"/>
          </w:p>
        </w:tc>
        <w:tc>
          <w:tcPr>
            <w:tcW w:w="21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DDE8B" w14:textId="77777777" w:rsidR="00227667" w:rsidRDefault="00000000">
            <w:pPr>
              <w:jc w:val="right"/>
            </w:pPr>
            <w:r>
              <w:rPr>
                <w:sz w:val="18"/>
                <w:szCs w:val="18"/>
              </w:rPr>
              <w:t>13 940</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4F6BCA" w14:textId="77777777" w:rsidR="00227667" w:rsidRDefault="00000000">
            <w:pPr>
              <w:jc w:val="right"/>
            </w:pPr>
            <w:r>
              <w:rPr>
                <w:sz w:val="18"/>
                <w:szCs w:val="18"/>
              </w:rPr>
              <w:t>21 074</w:t>
            </w:r>
          </w:p>
        </w:tc>
        <w:tc>
          <w:tcPr>
            <w:tcW w:w="19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E6F070" w14:textId="77777777" w:rsidR="00227667" w:rsidRDefault="00000000">
            <w:pPr>
              <w:jc w:val="right"/>
            </w:pPr>
            <w:r>
              <w:rPr>
                <w:sz w:val="18"/>
                <w:szCs w:val="18"/>
              </w:rPr>
              <w:t>28 662</w:t>
            </w:r>
          </w:p>
        </w:tc>
      </w:tr>
      <w:tr w:rsidR="00227667" w14:paraId="73A30F8A" w14:textId="77777777" w:rsidTr="00A22A69">
        <w:tc>
          <w:tcPr>
            <w:tcW w:w="3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5CD20BE" w14:textId="77777777" w:rsidR="00227667" w:rsidRDefault="00000000">
            <w:r>
              <w:rPr>
                <w:b/>
                <w:bCs/>
                <w:sz w:val="18"/>
                <w:szCs w:val="18"/>
              </w:rPr>
              <w:t>Enterprise Value (DCF)</w:t>
            </w:r>
          </w:p>
        </w:tc>
        <w:tc>
          <w:tcPr>
            <w:tcW w:w="2128"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96E1567" w14:textId="77777777" w:rsidR="00227667" w:rsidRDefault="00000000">
            <w:pPr>
              <w:jc w:val="right"/>
            </w:pPr>
            <w:r>
              <w:rPr>
                <w:b/>
                <w:bCs/>
                <w:sz w:val="18"/>
                <w:szCs w:val="18"/>
              </w:rPr>
              <w:t>17 857</w:t>
            </w:r>
          </w:p>
        </w:tc>
        <w:tc>
          <w:tcPr>
            <w:tcW w:w="2126"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F37FE56" w14:textId="77777777" w:rsidR="00227667" w:rsidRDefault="00000000">
            <w:pPr>
              <w:jc w:val="right"/>
            </w:pPr>
            <w:r>
              <w:rPr>
                <w:b/>
                <w:bCs/>
                <w:sz w:val="18"/>
                <w:szCs w:val="18"/>
              </w:rPr>
              <w:t>26 457</w:t>
            </w:r>
          </w:p>
        </w:tc>
        <w:tc>
          <w:tcPr>
            <w:tcW w:w="198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22514FD" w14:textId="77777777" w:rsidR="00227667" w:rsidRDefault="00000000">
            <w:pPr>
              <w:jc w:val="right"/>
            </w:pPr>
            <w:r>
              <w:rPr>
                <w:b/>
                <w:bCs/>
                <w:sz w:val="18"/>
                <w:szCs w:val="18"/>
              </w:rPr>
              <w:t>35 567</w:t>
            </w:r>
          </w:p>
        </w:tc>
      </w:tr>
      <w:tr w:rsidR="00227667" w14:paraId="199EF06F" w14:textId="77777777" w:rsidTr="00A22A69">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9814F9" w14:textId="77777777" w:rsidR="00227667" w:rsidRDefault="00000000">
            <w:r>
              <w:rPr>
                <w:sz w:val="18"/>
                <w:szCs w:val="18"/>
              </w:rPr>
              <w:t xml:space="preserve">EV/EBITDA 2024 </w:t>
            </w:r>
            <w:proofErr w:type="spellStart"/>
            <w:r>
              <w:rPr>
                <w:sz w:val="18"/>
                <w:szCs w:val="18"/>
              </w:rPr>
              <w:t>implicite</w:t>
            </w:r>
            <w:proofErr w:type="spellEnd"/>
          </w:p>
        </w:tc>
        <w:tc>
          <w:tcPr>
            <w:tcW w:w="212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696767" w14:textId="77777777" w:rsidR="00227667" w:rsidRDefault="00000000">
            <w:pPr>
              <w:jc w:val="right"/>
            </w:pPr>
            <w:r>
              <w:rPr>
                <w:sz w:val="18"/>
                <w:szCs w:val="18"/>
              </w:rPr>
              <w:t>5,2×</w:t>
            </w:r>
          </w:p>
        </w:tc>
        <w:tc>
          <w:tcPr>
            <w:tcW w:w="21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B0B72E" w14:textId="77777777" w:rsidR="00227667" w:rsidRDefault="00000000">
            <w:pPr>
              <w:jc w:val="right"/>
            </w:pPr>
            <w:r>
              <w:rPr>
                <w:sz w:val="18"/>
                <w:szCs w:val="18"/>
              </w:rPr>
              <w:t>7,7×</w:t>
            </w:r>
          </w:p>
        </w:tc>
        <w:tc>
          <w:tcPr>
            <w:tcW w:w="198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70349C" w14:textId="77777777" w:rsidR="00227667" w:rsidRDefault="00000000">
            <w:pPr>
              <w:jc w:val="right"/>
            </w:pPr>
            <w:r>
              <w:rPr>
                <w:sz w:val="18"/>
                <w:szCs w:val="18"/>
              </w:rPr>
              <w:t>10,4×</w:t>
            </w:r>
          </w:p>
        </w:tc>
      </w:tr>
      <w:tr w:rsidR="00227667" w14:paraId="042A790A" w14:textId="77777777" w:rsidTr="00A22A69">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A88CD" w14:textId="77777777" w:rsidR="00227667" w:rsidRPr="00897C47" w:rsidRDefault="00000000">
            <w:pPr>
              <w:rPr>
                <w:lang w:val="fr-FR"/>
              </w:rPr>
            </w:pPr>
            <w:r w:rsidRPr="00897C47">
              <w:rPr>
                <w:sz w:val="18"/>
                <w:szCs w:val="18"/>
                <w:lang w:val="fr-FR"/>
              </w:rPr>
              <w:t>% représenté par la valeur terminale</w:t>
            </w:r>
          </w:p>
        </w:tc>
        <w:tc>
          <w:tcPr>
            <w:tcW w:w="2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ED5F8" w14:textId="77777777" w:rsidR="00227667" w:rsidRDefault="00000000">
            <w:pPr>
              <w:jc w:val="right"/>
            </w:pPr>
            <w:r>
              <w:rPr>
                <w:sz w:val="18"/>
                <w:szCs w:val="18"/>
              </w:rPr>
              <w:t>78,1 %</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37F76" w14:textId="77777777" w:rsidR="00227667" w:rsidRDefault="00000000">
            <w:pPr>
              <w:jc w:val="right"/>
            </w:pPr>
            <w:r>
              <w:rPr>
                <w:sz w:val="18"/>
                <w:szCs w:val="18"/>
              </w:rPr>
              <w:t>79,7 %</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D942D" w14:textId="77777777" w:rsidR="00227667" w:rsidRDefault="00000000">
            <w:pPr>
              <w:jc w:val="right"/>
            </w:pPr>
            <w:r>
              <w:rPr>
                <w:sz w:val="18"/>
                <w:szCs w:val="18"/>
              </w:rPr>
              <w:t>80,6 %</w:t>
            </w:r>
          </w:p>
        </w:tc>
      </w:tr>
    </w:tbl>
    <w:p w14:paraId="6C721D51" w14:textId="77777777" w:rsidR="00227667" w:rsidRDefault="00227667">
      <w:pPr>
        <w:spacing w:after="80"/>
      </w:pPr>
    </w:p>
    <w:p w14:paraId="70DB9E77" w14:textId="3EA39846" w:rsidR="00227667" w:rsidRPr="00897C47" w:rsidRDefault="00000000">
      <w:pPr>
        <w:spacing w:after="120"/>
        <w:jc w:val="both"/>
        <w:rPr>
          <w:lang w:val="fr-FR"/>
        </w:rPr>
      </w:pPr>
      <w:r w:rsidRPr="00897C47">
        <w:rPr>
          <w:lang w:val="fr-FR"/>
        </w:rPr>
        <w:t>L'amplitude de la fourchette DCF est très large de 17,9 milliards d'euros en Bear à 35,6 milliards en Bull illustrant la sensibilité extrême du modèle aux hypothèses de croissance et de marge. Dans le scénario Bear, le multiple EV/EBITDA implicite de 5,2× est bas par rapport aux standards sectoriels, ce qui reflète un FCFF terminal faible et un flux de valeur principalement tiré par l'EBITDA courant. Dans le scénario Bull, le multiple de 10,4× correspond à une prime de croissance significative qui ne serait justifiée que par un redressement commercial complet de l'opérateur.</w:t>
      </w:r>
    </w:p>
    <w:p w14:paraId="345B26C1" w14:textId="77777777" w:rsidR="00227667" w:rsidRPr="00897C47" w:rsidRDefault="00227667">
      <w:pPr>
        <w:spacing w:after="80"/>
        <w:rPr>
          <w:lang w:val="fr-FR"/>
        </w:rPr>
      </w:pPr>
    </w:p>
    <w:p w14:paraId="27EA86C4" w14:textId="47C434A0" w:rsidR="00227667" w:rsidRPr="00897C47" w:rsidRDefault="00000000">
      <w:pPr>
        <w:pStyle w:val="Heading3"/>
        <w:pBdr>
          <w:bottom w:val="single" w:sz="4" w:space="0" w:color="4472C4"/>
        </w:pBdr>
        <w:rPr>
          <w:lang w:val="fr-FR"/>
        </w:rPr>
      </w:pPr>
      <w:r w:rsidRPr="00897C47">
        <w:rPr>
          <w:lang w:val="fr-FR"/>
        </w:rPr>
        <w:t xml:space="preserve">6.2 Multiples de transactions comparables </w:t>
      </w:r>
      <w:r w:rsidR="00A22A69">
        <w:rPr>
          <w:lang w:val="fr-FR"/>
        </w:rPr>
        <w:t>-</w:t>
      </w:r>
      <w:r w:rsidRPr="00897C47">
        <w:rPr>
          <w:lang w:val="fr-FR"/>
        </w:rPr>
        <w:t xml:space="preserve"> Sélection et analyse critique</w:t>
      </w:r>
    </w:p>
    <w:p w14:paraId="6B40E012" w14:textId="77777777" w:rsidR="00227667" w:rsidRPr="00897C47" w:rsidRDefault="00000000">
      <w:pPr>
        <w:spacing w:after="120"/>
        <w:jc w:val="both"/>
        <w:rPr>
          <w:lang w:val="fr-FR"/>
        </w:rPr>
      </w:pPr>
      <w:r w:rsidRPr="00897C47">
        <w:rPr>
          <w:lang w:val="fr-FR"/>
        </w:rPr>
        <w:t>La méthode des multiples de transactions comparables consiste à appliquer à l'EBITDA de SFR le multiple EV/EBITDA observé lors de transactions récentes portant sur des actifs télécom comparables en Europe. Cette méthode ancre la valorisation dans la réalité du marché M&amp;A et constitue le principal contre-poids au DCF.</w:t>
      </w:r>
    </w:p>
    <w:p w14:paraId="32E10EB2" w14:textId="77777777" w:rsidR="00227667" w:rsidRPr="00897C47" w:rsidRDefault="00227667">
      <w:pPr>
        <w:spacing w:after="80"/>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799"/>
        <w:gridCol w:w="1225"/>
        <w:gridCol w:w="1225"/>
        <w:gridCol w:w="1257"/>
        <w:gridCol w:w="1201"/>
        <w:gridCol w:w="1391"/>
      </w:tblGrid>
      <w:tr w:rsidR="00227667" w14:paraId="02ED11D6" w14:textId="77777777">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7EFD9BC0" w14:textId="77777777" w:rsidR="00227667" w:rsidRDefault="00000000">
            <w:pPr>
              <w:jc w:val="center"/>
            </w:pPr>
            <w:r>
              <w:rPr>
                <w:b/>
                <w:bCs/>
                <w:color w:val="FFFFFF"/>
                <w:sz w:val="18"/>
                <w:szCs w:val="18"/>
              </w:rPr>
              <w:t>Transaction</w:t>
            </w:r>
          </w:p>
        </w:tc>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624D13D4" w14:textId="77777777" w:rsidR="00227667" w:rsidRDefault="00000000">
            <w:pPr>
              <w:jc w:val="center"/>
            </w:pPr>
            <w:r>
              <w:rPr>
                <w:b/>
                <w:bCs/>
                <w:color w:val="FFFFFF"/>
                <w:sz w:val="18"/>
                <w:szCs w:val="18"/>
              </w:rPr>
              <w:t>Année</w:t>
            </w:r>
          </w:p>
        </w:tc>
        <w:tc>
          <w:tcPr>
            <w:tcW w:w="1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41FE8841" w14:textId="77777777" w:rsidR="00227667" w:rsidRDefault="00000000">
            <w:pPr>
              <w:jc w:val="center"/>
            </w:pPr>
            <w:r>
              <w:rPr>
                <w:b/>
                <w:bCs/>
                <w:color w:val="FFFFFF"/>
                <w:sz w:val="18"/>
                <w:szCs w:val="18"/>
              </w:rPr>
              <w:t>EV (€m)</w:t>
            </w:r>
          </w:p>
        </w:tc>
        <w:tc>
          <w:tcPr>
            <w:tcW w:w="1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5CBDF017" w14:textId="77777777" w:rsidR="00227667" w:rsidRDefault="00000000">
            <w:pPr>
              <w:jc w:val="center"/>
            </w:pPr>
            <w:r>
              <w:rPr>
                <w:b/>
                <w:bCs/>
                <w:color w:val="FFFFFF"/>
                <w:sz w:val="18"/>
                <w:szCs w:val="18"/>
              </w:rPr>
              <w:t>CA (€m)</w:t>
            </w:r>
          </w:p>
        </w:tc>
        <w:tc>
          <w:tcPr>
            <w:tcW w:w="1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7DB09152" w14:textId="77777777" w:rsidR="00227667" w:rsidRDefault="00000000">
            <w:pPr>
              <w:jc w:val="center"/>
            </w:pPr>
            <w:r>
              <w:rPr>
                <w:b/>
                <w:bCs/>
                <w:color w:val="FFFFFF"/>
                <w:sz w:val="18"/>
                <w:szCs w:val="18"/>
              </w:rPr>
              <w:t>EBITDA (€m)</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79C3F75D" w14:textId="77777777" w:rsidR="00227667" w:rsidRDefault="00000000">
            <w:pPr>
              <w:jc w:val="center"/>
            </w:pPr>
            <w:r>
              <w:rPr>
                <w:b/>
                <w:bCs/>
                <w:color w:val="FFFFFF"/>
                <w:sz w:val="18"/>
                <w:szCs w:val="18"/>
              </w:rPr>
              <w:t>EV/EBITDA</w:t>
            </w:r>
          </w:p>
        </w:tc>
        <w:tc>
          <w:tcPr>
            <w:tcW w:w="1338"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6DF59F4C" w14:textId="77777777" w:rsidR="00227667" w:rsidRDefault="00000000">
            <w:pPr>
              <w:jc w:val="center"/>
            </w:pPr>
            <w:proofErr w:type="spellStart"/>
            <w:r>
              <w:rPr>
                <w:b/>
                <w:bCs/>
                <w:color w:val="FFFFFF"/>
                <w:sz w:val="18"/>
                <w:szCs w:val="18"/>
              </w:rPr>
              <w:t>Commentaire</w:t>
            </w:r>
            <w:proofErr w:type="spellEnd"/>
          </w:p>
        </w:tc>
      </w:tr>
      <w:tr w:rsidR="00227667" w14:paraId="60E329D4"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D1EF85" w14:textId="77777777" w:rsidR="00227667" w:rsidRDefault="00000000">
            <w:r>
              <w:rPr>
                <w:sz w:val="18"/>
                <w:szCs w:val="18"/>
              </w:rPr>
              <w:t>Vodafone UK / Three UK (fusion)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EA4AD" w14:textId="77777777" w:rsidR="00227667" w:rsidRDefault="00000000">
            <w:pPr>
              <w:jc w:val="center"/>
            </w:pPr>
            <w:r>
              <w:rPr>
                <w:sz w:val="18"/>
                <w:szCs w:val="18"/>
              </w:rPr>
              <w:t>2024</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6045C8" w14:textId="77777777" w:rsidR="00227667" w:rsidRDefault="00000000">
            <w:pPr>
              <w:jc w:val="right"/>
            </w:pPr>
            <w:r>
              <w:rPr>
                <w:sz w:val="18"/>
                <w:szCs w:val="18"/>
              </w:rPr>
              <w:t>15 000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61E7B0" w14:textId="77777777" w:rsidR="00227667" w:rsidRDefault="00000000">
            <w:pPr>
              <w:jc w:val="right"/>
            </w:pPr>
            <w:r>
              <w:rPr>
                <w:sz w:val="18"/>
                <w:szCs w:val="18"/>
              </w:rPr>
              <w:t>5 800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24992" w14:textId="77777777" w:rsidR="00227667" w:rsidRDefault="00000000">
            <w:pPr>
              <w:jc w:val="right"/>
            </w:pPr>
            <w:r>
              <w:rPr>
                <w:sz w:val="18"/>
                <w:szCs w:val="18"/>
              </w:rPr>
              <w:t>1 850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CD189E" w14:textId="77777777" w:rsidR="00227667" w:rsidRDefault="00000000">
            <w:pPr>
              <w:jc w:val="right"/>
            </w:pPr>
            <w:r>
              <w:rPr>
                <w:sz w:val="18"/>
                <w:szCs w:val="18"/>
              </w:rPr>
              <w:t>8,1×</w:t>
            </w:r>
          </w:p>
        </w:tc>
        <w:tc>
          <w:tcPr>
            <w:tcW w:w="13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36302E" w14:textId="77777777" w:rsidR="00227667" w:rsidRDefault="00000000">
            <w:proofErr w:type="spellStart"/>
            <w:r>
              <w:rPr>
                <w:sz w:val="18"/>
                <w:szCs w:val="18"/>
              </w:rPr>
              <w:t>Opérateur</w:t>
            </w:r>
            <w:proofErr w:type="spellEnd"/>
            <w:r>
              <w:rPr>
                <w:sz w:val="18"/>
                <w:szCs w:val="18"/>
              </w:rPr>
              <w:t xml:space="preserve"> mobile UK</w:t>
            </w:r>
          </w:p>
        </w:tc>
      </w:tr>
      <w:tr w:rsidR="00227667" w14:paraId="55FB4D34"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8910C" w14:textId="7CAD9158" w:rsidR="00227667" w:rsidRDefault="00000000">
            <w:r>
              <w:rPr>
                <w:sz w:val="18"/>
                <w:szCs w:val="18"/>
              </w:rPr>
              <w:t xml:space="preserve">Orange / </w:t>
            </w:r>
            <w:proofErr w:type="spellStart"/>
            <w:r>
              <w:rPr>
                <w:sz w:val="18"/>
                <w:szCs w:val="18"/>
              </w:rPr>
              <w:t>MásMóvil</w:t>
            </w:r>
            <w:proofErr w:type="spellEnd"/>
            <w:r>
              <w:rPr>
                <w:sz w:val="18"/>
                <w:szCs w:val="18"/>
              </w:rPr>
              <w:t xml:space="preserve"> </w:t>
            </w:r>
            <w:r w:rsidR="003011B1">
              <w:rPr>
                <w:sz w:val="18"/>
                <w:szCs w:val="18"/>
              </w:rPr>
              <w:t>-</w:t>
            </w:r>
            <w:r>
              <w:rPr>
                <w:sz w:val="18"/>
                <w:szCs w:val="18"/>
              </w:rPr>
              <w:t xml:space="preserve"> JV </w:t>
            </w:r>
            <w:proofErr w:type="spellStart"/>
            <w:r>
              <w:rPr>
                <w:sz w:val="18"/>
                <w:szCs w:val="18"/>
              </w:rPr>
              <w:t>Espagne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12377" w14:textId="77777777" w:rsidR="00227667" w:rsidRDefault="00000000">
            <w:pPr>
              <w:jc w:val="center"/>
            </w:pPr>
            <w:r>
              <w:rPr>
                <w:sz w:val="18"/>
                <w:szCs w:val="18"/>
              </w:rPr>
              <w:t>2023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A8F94" w14:textId="77777777" w:rsidR="00227667" w:rsidRDefault="00000000">
            <w:pPr>
              <w:jc w:val="right"/>
            </w:pPr>
            <w:r>
              <w:rPr>
                <w:sz w:val="18"/>
                <w:szCs w:val="18"/>
              </w:rPr>
              <w:t>18 600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30AA3" w14:textId="77777777" w:rsidR="00227667" w:rsidRDefault="00000000">
            <w:pPr>
              <w:jc w:val="right"/>
            </w:pPr>
            <w:r>
              <w:rPr>
                <w:sz w:val="18"/>
                <w:szCs w:val="18"/>
              </w:rPr>
              <w:t>6 700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024F" w14:textId="77777777" w:rsidR="00227667" w:rsidRDefault="00000000">
            <w:pPr>
              <w:jc w:val="right"/>
            </w:pPr>
            <w:r>
              <w:rPr>
                <w:sz w:val="18"/>
                <w:szCs w:val="18"/>
              </w:rPr>
              <w:t>2 200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1442C" w14:textId="77777777" w:rsidR="00227667" w:rsidRDefault="00000000">
            <w:pPr>
              <w:jc w:val="right"/>
            </w:pPr>
            <w:r>
              <w:rPr>
                <w:sz w:val="18"/>
                <w:szCs w:val="18"/>
              </w:rPr>
              <w:t>8,5×</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14405" w14:textId="77777777" w:rsidR="00227667" w:rsidRDefault="00000000">
            <w:r>
              <w:rPr>
                <w:sz w:val="18"/>
                <w:szCs w:val="18"/>
              </w:rPr>
              <w:t>Convergence fixe-mobile</w:t>
            </w:r>
          </w:p>
        </w:tc>
      </w:tr>
      <w:tr w:rsidR="00227667" w14:paraId="445B268B"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DB87B" w14:textId="77777777" w:rsidR="00227667" w:rsidRDefault="00000000">
            <w:r>
              <w:rPr>
                <w:sz w:val="18"/>
                <w:szCs w:val="18"/>
              </w:rPr>
              <w:t>Proximus / BICS (Belgique)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2B1271" w14:textId="77777777" w:rsidR="00227667" w:rsidRDefault="00000000">
            <w:pPr>
              <w:jc w:val="center"/>
            </w:pPr>
            <w:r>
              <w:rPr>
                <w:sz w:val="18"/>
                <w:szCs w:val="18"/>
              </w:rPr>
              <w:t>2023</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6F1EAB" w14:textId="77777777" w:rsidR="00227667" w:rsidRDefault="00000000">
            <w:pPr>
              <w:jc w:val="right"/>
            </w:pPr>
            <w:r>
              <w:rPr>
                <w:sz w:val="18"/>
                <w:szCs w:val="18"/>
              </w:rPr>
              <w:t>1 150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840A5" w14:textId="77777777" w:rsidR="00227667" w:rsidRDefault="00000000">
            <w:pPr>
              <w:jc w:val="right"/>
            </w:pPr>
            <w:r>
              <w:rPr>
                <w:sz w:val="18"/>
                <w:szCs w:val="18"/>
              </w:rPr>
              <w:t>420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D4BF1A" w14:textId="77777777" w:rsidR="00227667" w:rsidRDefault="00000000">
            <w:pPr>
              <w:jc w:val="right"/>
            </w:pPr>
            <w:r>
              <w:rPr>
                <w:sz w:val="18"/>
                <w:szCs w:val="18"/>
              </w:rPr>
              <w:t>130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B41506" w14:textId="77777777" w:rsidR="00227667" w:rsidRDefault="00000000">
            <w:pPr>
              <w:jc w:val="right"/>
            </w:pPr>
            <w:r>
              <w:rPr>
                <w:sz w:val="18"/>
                <w:szCs w:val="18"/>
              </w:rPr>
              <w:t>8,8×</w:t>
            </w:r>
          </w:p>
        </w:tc>
        <w:tc>
          <w:tcPr>
            <w:tcW w:w="13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975315" w14:textId="77777777" w:rsidR="00227667" w:rsidRDefault="00000000">
            <w:proofErr w:type="spellStart"/>
            <w:r>
              <w:rPr>
                <w:sz w:val="18"/>
                <w:szCs w:val="18"/>
              </w:rPr>
              <w:t>Grossiste</w:t>
            </w:r>
            <w:proofErr w:type="spellEnd"/>
            <w:r>
              <w:rPr>
                <w:sz w:val="18"/>
                <w:szCs w:val="18"/>
              </w:rPr>
              <w:t xml:space="preserve"> </w:t>
            </w:r>
            <w:proofErr w:type="spellStart"/>
            <w:r>
              <w:rPr>
                <w:sz w:val="18"/>
                <w:szCs w:val="18"/>
              </w:rPr>
              <w:t>télécom</w:t>
            </w:r>
            <w:proofErr w:type="spellEnd"/>
          </w:p>
        </w:tc>
      </w:tr>
      <w:tr w:rsidR="00227667" w14:paraId="52FB0B65" w14:textId="77777777">
        <w:tc>
          <w:tcPr>
            <w:tcW w:w="27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7E27B22" w14:textId="77777777" w:rsidR="00227667" w:rsidRDefault="00000000">
            <w:r>
              <w:rPr>
                <w:sz w:val="18"/>
                <w:szCs w:val="18"/>
              </w:rPr>
              <w:t>DT / GD Towers (</w:t>
            </w:r>
            <w:proofErr w:type="spellStart"/>
            <w:r>
              <w:rPr>
                <w:sz w:val="18"/>
                <w:szCs w:val="18"/>
              </w:rPr>
              <w:t>Allemagne</w:t>
            </w:r>
            <w:proofErr w:type="spellEnd"/>
            <w:r>
              <w:rPr>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69AC2FC" w14:textId="77777777" w:rsidR="00227667" w:rsidRDefault="00000000">
            <w:pPr>
              <w:jc w:val="center"/>
            </w:pPr>
            <w:r>
              <w:rPr>
                <w:sz w:val="18"/>
                <w:szCs w:val="18"/>
              </w:rPr>
              <w:t>2022</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A370C4C" w14:textId="77777777" w:rsidR="00227667" w:rsidRDefault="00000000">
            <w:pPr>
              <w:jc w:val="right"/>
            </w:pPr>
            <w:r>
              <w:rPr>
                <w:sz w:val="18"/>
                <w:szCs w:val="18"/>
              </w:rPr>
              <w:t>17 500</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CDF95C6" w14:textId="77777777" w:rsidR="00227667" w:rsidRDefault="00000000">
            <w:pPr>
              <w:jc w:val="right"/>
            </w:pPr>
            <w:r>
              <w:rPr>
                <w:sz w:val="18"/>
                <w:szCs w:val="18"/>
              </w:rPr>
              <w:t>620</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881C8C9" w14:textId="77777777" w:rsidR="00227667" w:rsidRDefault="00000000">
            <w:pPr>
              <w:jc w:val="right"/>
            </w:pPr>
            <w:r>
              <w:rPr>
                <w:sz w:val="18"/>
                <w:szCs w:val="18"/>
              </w:rPr>
              <w:t>430</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600AA9A" w14:textId="77777777" w:rsidR="00227667" w:rsidRDefault="00000000">
            <w:pPr>
              <w:jc w:val="right"/>
            </w:pPr>
            <w:r>
              <w:rPr>
                <w:sz w:val="18"/>
                <w:szCs w:val="18"/>
              </w:rPr>
              <w:t>40,7×</w:t>
            </w:r>
          </w:p>
        </w:tc>
        <w:tc>
          <w:tcPr>
            <w:tcW w:w="1338"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29D98C8" w14:textId="0A813B66" w:rsidR="00227667" w:rsidRDefault="00000000">
            <w:r>
              <w:rPr>
                <w:sz w:val="18"/>
                <w:szCs w:val="18"/>
              </w:rPr>
              <w:t xml:space="preserve">⚠ Infra. tours </w:t>
            </w:r>
            <w:r w:rsidR="003011B1">
              <w:rPr>
                <w:sz w:val="18"/>
                <w:szCs w:val="18"/>
              </w:rPr>
              <w:t>-</w:t>
            </w:r>
            <w:r>
              <w:rPr>
                <w:sz w:val="18"/>
                <w:szCs w:val="18"/>
              </w:rPr>
              <w:t xml:space="preserve"> </w:t>
            </w:r>
            <w:proofErr w:type="spellStart"/>
            <w:r>
              <w:rPr>
                <w:sz w:val="18"/>
                <w:szCs w:val="18"/>
              </w:rPr>
              <w:t>exclu</w:t>
            </w:r>
            <w:proofErr w:type="spellEnd"/>
          </w:p>
        </w:tc>
      </w:tr>
      <w:tr w:rsidR="00227667" w:rsidRPr="003011B1" w14:paraId="1A494BDF"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0FA43" w14:textId="77777777" w:rsidR="00227667" w:rsidRDefault="00000000">
            <w:r>
              <w:rPr>
                <w:sz w:val="18"/>
                <w:szCs w:val="18"/>
              </w:rPr>
              <w:t>Iliad / Play (</w:t>
            </w:r>
            <w:proofErr w:type="spellStart"/>
            <w:r>
              <w:rPr>
                <w:sz w:val="18"/>
                <w:szCs w:val="18"/>
              </w:rPr>
              <w:t>Pologne</w:t>
            </w:r>
            <w:proofErr w:type="spellEnd"/>
            <w:r>
              <w:rPr>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D8447" w14:textId="77777777" w:rsidR="00227667" w:rsidRDefault="00000000">
            <w:pPr>
              <w:jc w:val="center"/>
            </w:pPr>
            <w:r>
              <w:rPr>
                <w:sz w:val="18"/>
                <w:szCs w:val="18"/>
              </w:rPr>
              <w:t>2020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86A83" w14:textId="77777777" w:rsidR="00227667" w:rsidRDefault="00000000">
            <w:pPr>
              <w:jc w:val="right"/>
            </w:pPr>
            <w:r>
              <w:rPr>
                <w:sz w:val="18"/>
                <w:szCs w:val="18"/>
              </w:rPr>
              <w:t>4 000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B11D0" w14:textId="77777777" w:rsidR="00227667" w:rsidRDefault="00000000">
            <w:pPr>
              <w:jc w:val="right"/>
            </w:pPr>
            <w:r>
              <w:rPr>
                <w:sz w:val="18"/>
                <w:szCs w:val="18"/>
              </w:rPr>
              <w:t>1 050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71375" w14:textId="77777777" w:rsidR="00227667" w:rsidRDefault="00000000">
            <w:pPr>
              <w:jc w:val="right"/>
            </w:pPr>
            <w:r>
              <w:rPr>
                <w:sz w:val="18"/>
                <w:szCs w:val="18"/>
              </w:rPr>
              <w:t>340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24081" w14:textId="77777777" w:rsidR="00227667" w:rsidRDefault="00000000">
            <w:pPr>
              <w:jc w:val="right"/>
            </w:pPr>
            <w:r>
              <w:rPr>
                <w:sz w:val="18"/>
                <w:szCs w:val="18"/>
              </w:rPr>
              <w:t>11,8×</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155E7" w14:textId="77777777" w:rsidR="00227667" w:rsidRPr="00897C47" w:rsidRDefault="00000000">
            <w:pPr>
              <w:rPr>
                <w:lang w:val="fr-FR"/>
              </w:rPr>
            </w:pPr>
            <w:r w:rsidRPr="00897C47">
              <w:rPr>
                <w:sz w:val="18"/>
                <w:szCs w:val="18"/>
                <w:lang w:val="fr-FR"/>
              </w:rPr>
              <w:t>Mobile-</w:t>
            </w:r>
            <w:proofErr w:type="spellStart"/>
            <w:r w:rsidRPr="00897C47">
              <w:rPr>
                <w:sz w:val="18"/>
                <w:szCs w:val="18"/>
                <w:lang w:val="fr-FR"/>
              </w:rPr>
              <w:t>only</w:t>
            </w:r>
            <w:proofErr w:type="spellEnd"/>
            <w:r w:rsidRPr="00897C47">
              <w:rPr>
                <w:sz w:val="18"/>
                <w:szCs w:val="18"/>
                <w:lang w:val="fr-FR"/>
              </w:rPr>
              <w:t>, marché émergent EU</w:t>
            </w:r>
          </w:p>
        </w:tc>
      </w:tr>
    </w:tbl>
    <w:p w14:paraId="08F07265" w14:textId="77777777" w:rsidR="00227667" w:rsidRPr="00897C47" w:rsidRDefault="00227667">
      <w:pPr>
        <w:spacing w:after="80"/>
        <w:rPr>
          <w:lang w:val="fr-FR"/>
        </w:rPr>
      </w:pPr>
    </w:p>
    <w:p w14:paraId="7D9F4493" w14:textId="6216B0BD" w:rsidR="00A22A69" w:rsidRPr="00A22A69" w:rsidRDefault="00000000" w:rsidP="00A22A69">
      <w:pPr>
        <w:spacing w:before="80" w:after="80"/>
        <w:ind w:left="360"/>
        <w:rPr>
          <w:i/>
          <w:iCs/>
          <w:color w:val="C55A11"/>
          <w:sz w:val="18"/>
          <w:szCs w:val="18"/>
          <w:lang w:val="fr-FR"/>
        </w:rPr>
      </w:pPr>
      <w:r w:rsidRPr="00897C47">
        <w:rPr>
          <w:i/>
          <w:iCs/>
          <w:color w:val="C55A11"/>
          <w:sz w:val="18"/>
          <w:szCs w:val="18"/>
          <w:lang w:val="fr-FR"/>
        </w:rPr>
        <w:t>⚠  Avertissement critique sur le panel Deutsche Telekom / GD Towers : la transaction DT/GD Towers (40,7× EBITDA) porte sur une société de tours de télécommunications (infrastructure passive), dont le modèle économique revenus contractuels à long terme sur actifs fixes justifie structurellement des multiples très supérieurs à ceux d'un opérateur télécom. Inclure cette transaction dans le panel fausse considérablement le calcul de la médiane et plus encore de la moyenne (15,6× vs 8,8× médiane hors cette transaction). Dans un contexte professionnel, cette transaction devrait être exclue sans ambiguïté. En conséquence, les résultats du modèle basés sur la médiane (8,85×) sont préférés, et la moyenne est à ignorer.</w:t>
      </w:r>
    </w:p>
    <w:p w14:paraId="2F93A484" w14:textId="77777777" w:rsidR="00227667" w:rsidRPr="00897C47" w:rsidRDefault="00000000" w:rsidP="00A22A69">
      <w:pPr>
        <w:spacing w:before="240" w:after="120"/>
        <w:jc w:val="both"/>
        <w:rPr>
          <w:lang w:val="fr-FR"/>
        </w:rPr>
      </w:pPr>
      <w:r w:rsidRPr="00897C47">
        <w:rPr>
          <w:lang w:val="fr-FR"/>
        </w:rPr>
        <w:t>Sur la base de la médiane du panel retraité (8,85× EBITDA 2024A de 3 429 M€), l'EV ressort à 30 333 M€. Le multiple du Quartile 25 (8,5×) donne une EV de 28 991 M€ et le Quartile 75 (11,8×) conduit à 40 341 M€, ce dernier chiffre étant tiré par la transaction Iliad/Play dans un contexte de marché mobile émergent non comparable.</w:t>
      </w:r>
    </w:p>
    <w:p w14:paraId="4E1B1F9D" w14:textId="77777777" w:rsidR="00227667" w:rsidRPr="00897C47" w:rsidRDefault="00000000">
      <w:pPr>
        <w:spacing w:after="120"/>
        <w:jc w:val="both"/>
        <w:rPr>
          <w:lang w:val="fr-FR"/>
        </w:rPr>
      </w:pPr>
      <w:r w:rsidRPr="00897C47">
        <w:rPr>
          <w:lang w:val="fr-FR"/>
        </w:rPr>
        <w:t>Pour la synthèse, nous retenons la médiane des multiples ajustés (8,85×) comme référence, soit une EV indicative de 30 333 M€ par la méthode des comparables. Ce chiffre est supérieur à tous nos scénarios DCF à l'exception du Bull, ce qui suggère que soit les comparables surévaluent SFR par rapport à sa trajectoire financière actuelle, soit le scénario Base du DCF sous-évalue le potentiel de redressement.</w:t>
      </w:r>
    </w:p>
    <w:p w14:paraId="0198A4B4" w14:textId="77777777" w:rsidR="00227667" w:rsidRPr="00897C47" w:rsidRDefault="00000000">
      <w:pPr>
        <w:rPr>
          <w:lang w:val="fr-FR"/>
        </w:rPr>
      </w:pPr>
      <w:r w:rsidRPr="00897C47">
        <w:rPr>
          <w:lang w:val="fr-FR"/>
        </w:rPr>
        <w:br w:type="page"/>
      </w:r>
    </w:p>
    <w:p w14:paraId="57F338A0" w14:textId="77777777" w:rsidR="00227667" w:rsidRPr="00897C47" w:rsidRDefault="00000000">
      <w:pPr>
        <w:pStyle w:val="Heading1"/>
        <w:shd w:val="clear" w:color="auto" w:fill="1F3864"/>
        <w:ind w:left="200"/>
        <w:rPr>
          <w:lang w:val="fr-FR"/>
        </w:rPr>
      </w:pPr>
      <w:r w:rsidRPr="00897C47">
        <w:rPr>
          <w:lang w:val="fr-FR"/>
        </w:rPr>
        <w:lastRenderedPageBreak/>
        <w:t>7. Synthèse de la valorisation</w:t>
      </w:r>
    </w:p>
    <w:p w14:paraId="28D0248D" w14:textId="77777777" w:rsidR="00227667" w:rsidRPr="00897C47" w:rsidRDefault="00227667">
      <w:pPr>
        <w:spacing w:after="80"/>
        <w:rPr>
          <w:lang w:val="fr-FR"/>
        </w:rPr>
      </w:pPr>
    </w:p>
    <w:p w14:paraId="5416ECAB" w14:textId="47BA3D97" w:rsidR="00227667" w:rsidRPr="00897C47" w:rsidRDefault="00000000">
      <w:pPr>
        <w:pStyle w:val="Heading3"/>
        <w:pBdr>
          <w:bottom w:val="single" w:sz="4" w:space="0" w:color="4472C4"/>
        </w:pBdr>
        <w:rPr>
          <w:lang w:val="fr-FR"/>
        </w:rPr>
      </w:pPr>
      <w:r w:rsidRPr="00897C47">
        <w:rPr>
          <w:lang w:val="fr-FR"/>
        </w:rPr>
        <w:t xml:space="preserve">7.1 Football </w:t>
      </w:r>
      <w:proofErr w:type="spellStart"/>
      <w:r w:rsidRPr="00897C47">
        <w:rPr>
          <w:lang w:val="fr-FR"/>
        </w:rPr>
        <w:t>field</w:t>
      </w:r>
      <w:proofErr w:type="spellEnd"/>
      <w:r w:rsidRPr="00897C47">
        <w:rPr>
          <w:lang w:val="fr-FR"/>
        </w:rPr>
        <w:t xml:space="preserve"> </w:t>
      </w:r>
      <w:r w:rsidR="003011B1">
        <w:rPr>
          <w:lang w:val="fr-FR"/>
        </w:rPr>
        <w:t>-</w:t>
      </w:r>
      <w:r w:rsidRPr="00897C47">
        <w:rPr>
          <w:lang w:val="fr-FR"/>
        </w:rPr>
        <w:t xml:space="preserve"> Fourchette finale</w:t>
      </w:r>
    </w:p>
    <w:p w14:paraId="0E8245D9" w14:textId="77777777" w:rsidR="00227667" w:rsidRPr="00897C47" w:rsidRDefault="00000000">
      <w:pPr>
        <w:spacing w:after="120"/>
        <w:jc w:val="both"/>
        <w:rPr>
          <w:lang w:val="fr-FR"/>
        </w:rPr>
      </w:pPr>
      <w:r w:rsidRPr="00897C47">
        <w:rPr>
          <w:lang w:val="fr-FR"/>
        </w:rPr>
        <w:t>La fourchette de valorisation finale est obtenue en pondérant les deux méthodes (DCF et multiples) à parité égale pour chaque scénario, conformément à la pratique standard en M&amp;A qui consiste à triangulariser les résultats plutôt qu'à retenir une méthode unique.</w:t>
      </w:r>
    </w:p>
    <w:p w14:paraId="36BE549F" w14:textId="77777777" w:rsidR="00227667" w:rsidRPr="00897C47" w:rsidRDefault="00227667">
      <w:pPr>
        <w:spacing w:after="80"/>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800"/>
        <w:gridCol w:w="2000"/>
        <w:gridCol w:w="2538"/>
      </w:tblGrid>
      <w:tr w:rsidR="00227667" w14:paraId="605F4E03" w14:textId="77777777">
        <w:tc>
          <w:tcPr>
            <w:tcW w:w="3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3EC139D8" w14:textId="77777777" w:rsidR="00227667" w:rsidRDefault="00000000">
            <w:pPr>
              <w:jc w:val="center"/>
            </w:pPr>
            <w:r>
              <w:rPr>
                <w:b/>
                <w:bCs/>
                <w:color w:val="FFFFFF"/>
                <w:sz w:val="18"/>
                <w:szCs w:val="18"/>
              </w:rPr>
              <w:t xml:space="preserve">Enterprise Value </w:t>
            </w:r>
            <w:proofErr w:type="spellStart"/>
            <w:r>
              <w:rPr>
                <w:b/>
                <w:bCs/>
                <w:color w:val="FFFFFF"/>
                <w:sz w:val="18"/>
                <w:szCs w:val="18"/>
              </w:rPr>
              <w:t>retenue</w:t>
            </w:r>
            <w:proofErr w:type="spellEnd"/>
            <w:r>
              <w:rPr>
                <w:b/>
                <w:bCs/>
                <w:color w:val="FFFFFF"/>
                <w:sz w:val="18"/>
                <w:szCs w:val="18"/>
              </w:rPr>
              <w:t xml:space="preserve"> (€m)</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15D4E465" w14:textId="77777777" w:rsidR="00227667" w:rsidRDefault="00000000">
            <w:pPr>
              <w:jc w:val="center"/>
            </w:pPr>
            <w:r>
              <w:rPr>
                <w:b/>
                <w:bCs/>
                <w:color w:val="FFFFFF"/>
                <w:sz w:val="18"/>
                <w:szCs w:val="18"/>
              </w:rPr>
              <w:t>Bear</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234AB0C3" w14:textId="77777777" w:rsidR="00227667" w:rsidRDefault="00000000">
            <w:pPr>
              <w:jc w:val="center"/>
            </w:pPr>
            <w:r>
              <w:rPr>
                <w:b/>
                <w:bCs/>
                <w:color w:val="FFFFFF"/>
                <w:sz w:val="18"/>
                <w:szCs w:val="18"/>
              </w:rPr>
              <w:t>Base</w:t>
            </w:r>
          </w:p>
        </w:tc>
        <w:tc>
          <w:tcPr>
            <w:tcW w:w="2538"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036BF9EB" w14:textId="77777777" w:rsidR="00227667" w:rsidRDefault="00000000">
            <w:pPr>
              <w:jc w:val="center"/>
            </w:pPr>
            <w:r>
              <w:rPr>
                <w:b/>
                <w:bCs/>
                <w:color w:val="FFFFFF"/>
                <w:sz w:val="18"/>
                <w:szCs w:val="18"/>
              </w:rPr>
              <w:t>Bull</w:t>
            </w:r>
          </w:p>
        </w:tc>
      </w:tr>
      <w:tr w:rsidR="00227667" w14:paraId="0F76D92B" w14:textId="77777777">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40B849" w14:textId="77777777" w:rsidR="00227667" w:rsidRDefault="00000000">
            <w:r>
              <w:rPr>
                <w:sz w:val="18"/>
                <w:szCs w:val="18"/>
              </w:rPr>
              <w:t>EV DCF</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A9147" w14:textId="77777777" w:rsidR="00227667" w:rsidRDefault="00000000">
            <w:pPr>
              <w:jc w:val="right"/>
            </w:pPr>
            <w:r>
              <w:rPr>
                <w:sz w:val="18"/>
                <w:szCs w:val="18"/>
              </w:rPr>
              <w:t>17 857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41294" w14:textId="77777777" w:rsidR="00227667" w:rsidRDefault="00000000">
            <w:pPr>
              <w:jc w:val="right"/>
            </w:pPr>
            <w:r>
              <w:rPr>
                <w:sz w:val="18"/>
                <w:szCs w:val="18"/>
              </w:rPr>
              <w:t>26 457</w:t>
            </w:r>
          </w:p>
        </w:tc>
        <w:tc>
          <w:tcPr>
            <w:tcW w:w="25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D9A409" w14:textId="77777777" w:rsidR="00227667" w:rsidRDefault="00000000">
            <w:pPr>
              <w:jc w:val="right"/>
            </w:pPr>
            <w:r>
              <w:rPr>
                <w:sz w:val="18"/>
                <w:szCs w:val="18"/>
              </w:rPr>
              <w:t>35 567</w:t>
            </w:r>
          </w:p>
        </w:tc>
      </w:tr>
      <w:tr w:rsidR="00227667" w14:paraId="01D7D662" w14:textId="77777777">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60FAD" w14:textId="77777777" w:rsidR="00227667" w:rsidRDefault="00000000">
            <w:r>
              <w:rPr>
                <w:sz w:val="18"/>
                <w:szCs w:val="18"/>
              </w:rPr>
              <w:t>EV Multiples (</w:t>
            </w:r>
            <w:proofErr w:type="spellStart"/>
            <w:r>
              <w:rPr>
                <w:sz w:val="18"/>
                <w:szCs w:val="18"/>
              </w:rPr>
              <w:t>médiane</w:t>
            </w:r>
            <w:proofErr w:type="spellEnd"/>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43D83" w14:textId="77777777" w:rsidR="00227667" w:rsidRDefault="00000000">
            <w:pPr>
              <w:jc w:val="right"/>
            </w:pPr>
            <w:r>
              <w:rPr>
                <w:sz w:val="18"/>
                <w:szCs w:val="18"/>
              </w:rPr>
              <w:t>28 991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88003" w14:textId="77777777" w:rsidR="00227667" w:rsidRDefault="00000000">
            <w:pPr>
              <w:jc w:val="right"/>
            </w:pPr>
            <w:r>
              <w:rPr>
                <w:sz w:val="18"/>
                <w:szCs w:val="18"/>
              </w:rPr>
              <w:t>30 333</w:t>
            </w:r>
          </w:p>
        </w:tc>
        <w:tc>
          <w:tcPr>
            <w:tcW w:w="2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3E07C" w14:textId="77777777" w:rsidR="00227667" w:rsidRDefault="00000000">
            <w:pPr>
              <w:jc w:val="right"/>
            </w:pPr>
            <w:r>
              <w:rPr>
                <w:sz w:val="18"/>
                <w:szCs w:val="18"/>
              </w:rPr>
              <w:t>40 341</w:t>
            </w:r>
          </w:p>
        </w:tc>
      </w:tr>
      <w:tr w:rsidR="00227667" w14:paraId="55C5302E" w14:textId="77777777">
        <w:tc>
          <w:tcPr>
            <w:tcW w:w="33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0481F34" w14:textId="77777777" w:rsidR="00227667" w:rsidRDefault="00000000">
            <w:r>
              <w:rPr>
                <w:b/>
                <w:bCs/>
                <w:sz w:val="18"/>
                <w:szCs w:val="18"/>
              </w:rPr>
              <w:t>EV RETENUE (</w:t>
            </w:r>
            <w:proofErr w:type="spellStart"/>
            <w:r>
              <w:rPr>
                <w:b/>
                <w:bCs/>
                <w:sz w:val="18"/>
                <w:szCs w:val="18"/>
              </w:rPr>
              <w:t>moyenne</w:t>
            </w:r>
            <w:proofErr w:type="spellEnd"/>
            <w:r>
              <w:rPr>
                <w:b/>
                <w:bCs/>
                <w:sz w:val="18"/>
                <w:szCs w:val="18"/>
              </w:rPr>
              <w:t xml:space="preserve"> 50/50)</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9E1F12B" w14:textId="77777777" w:rsidR="00227667" w:rsidRDefault="00000000">
            <w:pPr>
              <w:jc w:val="right"/>
            </w:pPr>
            <w:r>
              <w:rPr>
                <w:b/>
                <w:bCs/>
                <w:sz w:val="18"/>
                <w:szCs w:val="18"/>
              </w:rPr>
              <w:t>24 095</w:t>
            </w:r>
          </w:p>
        </w:tc>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BEE0950" w14:textId="77777777" w:rsidR="00227667" w:rsidRDefault="00000000">
            <w:pPr>
              <w:jc w:val="right"/>
            </w:pPr>
            <w:r>
              <w:rPr>
                <w:b/>
                <w:bCs/>
                <w:sz w:val="18"/>
                <w:szCs w:val="18"/>
              </w:rPr>
              <w:t>28 395</w:t>
            </w:r>
          </w:p>
        </w:tc>
        <w:tc>
          <w:tcPr>
            <w:tcW w:w="2538"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5E8244C" w14:textId="77777777" w:rsidR="00227667" w:rsidRDefault="00000000">
            <w:pPr>
              <w:jc w:val="right"/>
            </w:pPr>
            <w:r>
              <w:rPr>
                <w:b/>
                <w:bCs/>
                <w:sz w:val="18"/>
                <w:szCs w:val="18"/>
              </w:rPr>
              <w:t>32 950</w:t>
            </w:r>
          </w:p>
        </w:tc>
      </w:tr>
      <w:tr w:rsidR="00227667" w14:paraId="2AA6C616" w14:textId="77777777">
        <w:tc>
          <w:tcPr>
            <w:tcW w:w="3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8D633E0" w14:textId="77777777" w:rsidR="00227667" w:rsidRDefault="00000000">
            <w:r>
              <w:rPr>
                <w:sz w:val="18"/>
                <w:szCs w:val="18"/>
              </w:rPr>
              <w:t xml:space="preserve">EV/EBITDA 2024 </w:t>
            </w:r>
            <w:proofErr w:type="spellStart"/>
            <w:r>
              <w:rPr>
                <w:sz w:val="18"/>
                <w:szCs w:val="18"/>
              </w:rPr>
              <w:t>implicite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90BFB7" w14:textId="77777777" w:rsidR="00227667" w:rsidRDefault="00000000">
            <w:pPr>
              <w:jc w:val="right"/>
            </w:pPr>
            <w:r>
              <w:rPr>
                <w:sz w:val="18"/>
                <w:szCs w:val="18"/>
              </w:rPr>
              <w:t>7,0×</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1790D1" w14:textId="77777777" w:rsidR="00227667" w:rsidRDefault="00000000">
            <w:pPr>
              <w:jc w:val="right"/>
            </w:pPr>
            <w:r>
              <w:rPr>
                <w:sz w:val="18"/>
                <w:szCs w:val="18"/>
              </w:rPr>
              <w:t>8,3×</w:t>
            </w:r>
          </w:p>
        </w:tc>
        <w:tc>
          <w:tcPr>
            <w:tcW w:w="253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1B8AC0" w14:textId="77777777" w:rsidR="00227667" w:rsidRDefault="00000000">
            <w:pPr>
              <w:jc w:val="right"/>
            </w:pPr>
            <w:r>
              <w:rPr>
                <w:sz w:val="18"/>
                <w:szCs w:val="18"/>
              </w:rPr>
              <w:t>9,6×</w:t>
            </w:r>
          </w:p>
        </w:tc>
      </w:tr>
      <w:tr w:rsidR="00227667" w14:paraId="3381C02F" w14:textId="77777777">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0A07C4" w14:textId="77777777" w:rsidR="00227667" w:rsidRDefault="00000000">
            <w:r>
              <w:rPr>
                <w:sz w:val="18"/>
                <w:szCs w:val="18"/>
              </w:rPr>
              <w:t xml:space="preserve">Equity Value (EV − </w:t>
            </w:r>
            <w:proofErr w:type="spellStart"/>
            <w:r>
              <w:rPr>
                <w:sz w:val="18"/>
                <w:szCs w:val="18"/>
              </w:rPr>
              <w:t>dette</w:t>
            </w:r>
            <w:proofErr w:type="spellEnd"/>
            <w:r>
              <w:rPr>
                <w:sz w:val="18"/>
                <w:szCs w:val="18"/>
              </w:rPr>
              <w:t xml:space="preserve"> </w:t>
            </w:r>
            <w:proofErr w:type="spellStart"/>
            <w:r>
              <w:rPr>
                <w:sz w:val="18"/>
                <w:szCs w:val="18"/>
              </w:rPr>
              <w:t>nette</w:t>
            </w:r>
            <w:proofErr w:type="spellEnd"/>
            <w:r>
              <w:rPr>
                <w:sz w:val="18"/>
                <w:szCs w:val="18"/>
              </w:rPr>
              <w:t xml:space="preserve"> </w:t>
            </w:r>
            <w:proofErr w:type="spellStart"/>
            <w:r>
              <w:rPr>
                <w:sz w:val="18"/>
                <w:szCs w:val="18"/>
              </w:rPr>
              <w:t>élargie</w:t>
            </w:r>
            <w:proofErr w:type="spellEnd"/>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8D8E0" w14:textId="77777777" w:rsidR="00227667" w:rsidRDefault="00000000">
            <w:pPr>
              <w:jc w:val="right"/>
            </w:pPr>
            <w:r>
              <w:rPr>
                <w:sz w:val="18"/>
                <w:szCs w:val="18"/>
              </w:rPr>
              <w:t>7 612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04C7B7" w14:textId="77777777" w:rsidR="00227667" w:rsidRDefault="00000000">
            <w:pPr>
              <w:jc w:val="right"/>
            </w:pPr>
            <w:r>
              <w:rPr>
                <w:sz w:val="18"/>
                <w:szCs w:val="18"/>
              </w:rPr>
              <w:t>11 912</w:t>
            </w:r>
          </w:p>
        </w:tc>
        <w:tc>
          <w:tcPr>
            <w:tcW w:w="25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6E961E" w14:textId="77777777" w:rsidR="00227667" w:rsidRDefault="00000000">
            <w:pPr>
              <w:jc w:val="right"/>
            </w:pPr>
            <w:r>
              <w:rPr>
                <w:sz w:val="18"/>
                <w:szCs w:val="18"/>
              </w:rPr>
              <w:t>16 467</w:t>
            </w:r>
          </w:p>
        </w:tc>
      </w:tr>
    </w:tbl>
    <w:p w14:paraId="13B6A943" w14:textId="77777777" w:rsidR="00227667" w:rsidRDefault="00227667">
      <w:pPr>
        <w:spacing w:after="80"/>
      </w:pPr>
    </w:p>
    <w:p w14:paraId="61882F2D" w14:textId="77777777" w:rsidR="00227667" w:rsidRPr="00897C47" w:rsidRDefault="00000000">
      <w:pPr>
        <w:spacing w:after="120"/>
        <w:jc w:val="both"/>
        <w:rPr>
          <w:lang w:val="fr-FR"/>
        </w:rPr>
      </w:pPr>
      <w:r w:rsidRPr="00897C47">
        <w:rPr>
          <w:lang w:val="fr-FR"/>
        </w:rPr>
        <w:t>La dette nette élargie déduite pour calculer l'</w:t>
      </w:r>
      <w:proofErr w:type="spellStart"/>
      <w:r w:rsidRPr="00897C47">
        <w:rPr>
          <w:lang w:val="fr-FR"/>
        </w:rPr>
        <w:t>Equity</w:t>
      </w:r>
      <w:proofErr w:type="spellEnd"/>
      <w:r w:rsidRPr="00897C47">
        <w:rPr>
          <w:lang w:val="fr-FR"/>
        </w:rPr>
        <w:t xml:space="preserve"> Value comprend : (i) la dette financière nette post-restructuration (~15 500 M€), (ii) les obligations locatives IFRS 16 (~3 200 M€), (iii) les provisions et engagements </w:t>
      </w:r>
      <w:proofErr w:type="spellStart"/>
      <w:r w:rsidRPr="00897C47">
        <w:rPr>
          <w:lang w:val="fr-FR"/>
        </w:rPr>
        <w:t>hors-bilan</w:t>
      </w:r>
      <w:proofErr w:type="spellEnd"/>
      <w:r w:rsidRPr="00897C47">
        <w:rPr>
          <w:lang w:val="fr-FR"/>
        </w:rPr>
        <w:t xml:space="preserve"> (~500 M€), (iv) les intérêts minoritaires (~150 M€), partiellement compensés par la trésorerie disponible (2 867 M€ au 31 décembre 2024). Le total des déductions s'établit à 16 483 M€, conduisant à une </w:t>
      </w:r>
      <w:proofErr w:type="spellStart"/>
      <w:r w:rsidRPr="00897C47">
        <w:rPr>
          <w:lang w:val="fr-FR"/>
        </w:rPr>
        <w:t>Equity</w:t>
      </w:r>
      <w:proofErr w:type="spellEnd"/>
      <w:r w:rsidRPr="00897C47">
        <w:rPr>
          <w:lang w:val="fr-FR"/>
        </w:rPr>
        <w:t xml:space="preserve"> Value de 7,6 à 16,5 milliards d'euros selon le scénario retenu.</w:t>
      </w:r>
    </w:p>
    <w:p w14:paraId="4086C842" w14:textId="77777777" w:rsidR="00227667" w:rsidRPr="00897C47" w:rsidRDefault="00227667">
      <w:pPr>
        <w:spacing w:after="80"/>
        <w:rPr>
          <w:lang w:val="fr-FR"/>
        </w:rPr>
      </w:pPr>
    </w:p>
    <w:p w14:paraId="0DBD6FEF" w14:textId="77777777" w:rsidR="00227667" w:rsidRPr="00897C47" w:rsidRDefault="00000000">
      <w:pPr>
        <w:pStyle w:val="Heading3"/>
        <w:pBdr>
          <w:bottom w:val="single" w:sz="4" w:space="0" w:color="4472C4"/>
        </w:pBdr>
        <w:rPr>
          <w:lang w:val="fr-FR"/>
        </w:rPr>
      </w:pPr>
      <w:r w:rsidRPr="00897C47">
        <w:rPr>
          <w:lang w:val="fr-FR"/>
        </w:rPr>
        <w:t>7.2 Analyse de l'offre du consortium</w:t>
      </w:r>
    </w:p>
    <w:p w14:paraId="377BE324" w14:textId="77777777" w:rsidR="00227667" w:rsidRPr="00897C47" w:rsidRDefault="00000000">
      <w:pPr>
        <w:spacing w:after="120"/>
        <w:jc w:val="both"/>
        <w:rPr>
          <w:lang w:val="fr-FR"/>
        </w:rPr>
      </w:pPr>
      <w:r w:rsidRPr="00897C47">
        <w:rPr>
          <w:lang w:val="fr-FR"/>
        </w:rPr>
        <w:t>L'offre révisée du consortium à 20 milliards d'euros se positionne de la manière suivante par rapport à notre fourchette de valorisation :</w:t>
      </w:r>
    </w:p>
    <w:p w14:paraId="26C5A236" w14:textId="77777777" w:rsidR="00227667" w:rsidRPr="00897C47" w:rsidRDefault="00227667">
      <w:pPr>
        <w:spacing w:after="80"/>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200"/>
        <w:gridCol w:w="3438"/>
      </w:tblGrid>
      <w:tr w:rsidR="00227667" w14:paraId="3F921E82" w14:textId="77777777">
        <w:tc>
          <w:tcPr>
            <w:tcW w:w="4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06ECCC0F" w14:textId="77777777" w:rsidR="00227667" w:rsidRDefault="00000000">
            <w:pPr>
              <w:jc w:val="center"/>
            </w:pPr>
            <w:proofErr w:type="spellStart"/>
            <w:r>
              <w:rPr>
                <w:b/>
                <w:bCs/>
                <w:color w:val="FFFFFF"/>
                <w:sz w:val="18"/>
                <w:szCs w:val="18"/>
              </w:rPr>
              <w:t>Analyse</w:t>
            </w:r>
            <w:proofErr w:type="spellEnd"/>
            <w:r>
              <w:rPr>
                <w:b/>
                <w:bCs/>
                <w:color w:val="FFFFFF"/>
                <w:sz w:val="18"/>
                <w:szCs w:val="18"/>
              </w:rPr>
              <w:t xml:space="preserve"> de </w:t>
            </w:r>
            <w:proofErr w:type="spellStart"/>
            <w:r>
              <w:rPr>
                <w:b/>
                <w:bCs/>
                <w:color w:val="FFFFFF"/>
                <w:sz w:val="18"/>
                <w:szCs w:val="18"/>
              </w:rPr>
              <w:t>l'offre</w:t>
            </w:r>
            <w:proofErr w:type="spellEnd"/>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455D1824" w14:textId="77777777" w:rsidR="00227667" w:rsidRDefault="00000000">
            <w:pPr>
              <w:jc w:val="center"/>
            </w:pPr>
            <w:r>
              <w:rPr>
                <w:b/>
                <w:bCs/>
                <w:color w:val="FFFFFF"/>
                <w:sz w:val="18"/>
                <w:szCs w:val="18"/>
              </w:rPr>
              <w:t>Valeur</w:t>
            </w:r>
          </w:p>
        </w:tc>
        <w:tc>
          <w:tcPr>
            <w:tcW w:w="3438"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1F73FBDD" w14:textId="77777777" w:rsidR="00227667" w:rsidRDefault="00000000">
            <w:pPr>
              <w:jc w:val="center"/>
            </w:pPr>
            <w:proofErr w:type="spellStart"/>
            <w:r>
              <w:rPr>
                <w:b/>
                <w:bCs/>
                <w:color w:val="FFFFFF"/>
                <w:sz w:val="18"/>
                <w:szCs w:val="18"/>
              </w:rPr>
              <w:t>Commentaire</w:t>
            </w:r>
            <w:proofErr w:type="spellEnd"/>
          </w:p>
        </w:tc>
      </w:tr>
      <w:tr w:rsidR="00227667" w14:paraId="4E236076"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A9372B" w14:textId="77777777" w:rsidR="00227667" w:rsidRDefault="00000000">
            <w:proofErr w:type="spellStart"/>
            <w:r>
              <w:rPr>
                <w:sz w:val="18"/>
                <w:szCs w:val="18"/>
              </w:rPr>
              <w:t>Offre</w:t>
            </w:r>
            <w:proofErr w:type="spellEnd"/>
            <w:r>
              <w:rPr>
                <w:sz w:val="18"/>
                <w:szCs w:val="18"/>
              </w:rPr>
              <w:t xml:space="preserve"> consortium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B65392" w14:textId="77777777" w:rsidR="00227667" w:rsidRDefault="00000000">
            <w:pPr>
              <w:jc w:val="right"/>
            </w:pPr>
            <w:r>
              <w:rPr>
                <w:b/>
                <w:bCs/>
                <w:sz w:val="18"/>
                <w:szCs w:val="18"/>
              </w:rPr>
              <w:t>20 000 M€</w:t>
            </w:r>
          </w:p>
        </w:tc>
        <w:tc>
          <w:tcPr>
            <w:tcW w:w="34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B0F7E9" w14:textId="77777777" w:rsidR="00227667" w:rsidRDefault="00000000">
            <w:r>
              <w:rPr>
                <w:sz w:val="18"/>
                <w:szCs w:val="18"/>
              </w:rPr>
              <w:t xml:space="preserve">Dette </w:t>
            </w:r>
            <w:proofErr w:type="spellStart"/>
            <w:r>
              <w:rPr>
                <w:sz w:val="18"/>
                <w:szCs w:val="18"/>
              </w:rPr>
              <w:t>incluse</w:t>
            </w:r>
            <w:proofErr w:type="spellEnd"/>
            <w:r>
              <w:rPr>
                <w:sz w:val="18"/>
                <w:szCs w:val="18"/>
              </w:rPr>
              <w:t xml:space="preserve"> (EV)</w:t>
            </w:r>
          </w:p>
        </w:tc>
      </w:tr>
      <w:tr w:rsidR="00227667" w14:paraId="48FDFC2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87F43" w14:textId="77777777" w:rsidR="00227667" w:rsidRDefault="00000000">
            <w:r>
              <w:rPr>
                <w:sz w:val="18"/>
                <w:szCs w:val="18"/>
              </w:rPr>
              <w:t xml:space="preserve">EV/EBITDA </w:t>
            </w:r>
            <w:proofErr w:type="spellStart"/>
            <w:r>
              <w:rPr>
                <w:sz w:val="18"/>
                <w:szCs w:val="18"/>
              </w:rPr>
              <w:t>implicite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6F280" w14:textId="77777777" w:rsidR="00227667" w:rsidRDefault="00000000">
            <w:pPr>
              <w:jc w:val="right"/>
            </w:pPr>
            <w:r>
              <w:rPr>
                <w:sz w:val="18"/>
                <w:szCs w:val="18"/>
              </w:rPr>
              <w:t>5,8×</w:t>
            </w:r>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1E514" w14:textId="77777777" w:rsidR="00227667" w:rsidRDefault="00000000">
            <w:r>
              <w:rPr>
                <w:sz w:val="18"/>
                <w:szCs w:val="18"/>
              </w:rPr>
              <w:t xml:space="preserve">Vs. 8,3× (EV </w:t>
            </w:r>
            <w:proofErr w:type="spellStart"/>
            <w:r>
              <w:rPr>
                <w:sz w:val="18"/>
                <w:szCs w:val="18"/>
              </w:rPr>
              <w:t>retenue</w:t>
            </w:r>
            <w:proofErr w:type="spellEnd"/>
            <w:r>
              <w:rPr>
                <w:sz w:val="18"/>
                <w:szCs w:val="18"/>
              </w:rPr>
              <w:t xml:space="preserve"> Base)</w:t>
            </w:r>
          </w:p>
        </w:tc>
      </w:tr>
      <w:tr w:rsidR="00227667" w:rsidRPr="003011B1" w14:paraId="75CEF11B"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BFD789" w14:textId="77777777" w:rsidR="00227667" w:rsidRDefault="00000000">
            <w:r>
              <w:rPr>
                <w:sz w:val="18"/>
                <w:szCs w:val="18"/>
              </w:rPr>
              <w:t xml:space="preserve">Prime vs. EV </w:t>
            </w:r>
            <w:proofErr w:type="spellStart"/>
            <w:r>
              <w:rPr>
                <w:sz w:val="18"/>
                <w:szCs w:val="18"/>
              </w:rPr>
              <w:t>retenue</w:t>
            </w:r>
            <w:proofErr w:type="spellEnd"/>
            <w:r>
              <w:rPr>
                <w:sz w:val="18"/>
                <w:szCs w:val="18"/>
              </w:rPr>
              <w:t xml:space="preserve"> Bear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C7B69" w14:textId="77777777" w:rsidR="00227667" w:rsidRDefault="00000000">
            <w:pPr>
              <w:jc w:val="right"/>
            </w:pPr>
            <w:r>
              <w:rPr>
                <w:sz w:val="18"/>
                <w:szCs w:val="18"/>
              </w:rPr>
              <w:t>+12,0 %</w:t>
            </w:r>
          </w:p>
        </w:tc>
        <w:tc>
          <w:tcPr>
            <w:tcW w:w="34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D74069" w14:textId="77777777" w:rsidR="00227667" w:rsidRPr="00897C47" w:rsidRDefault="00000000">
            <w:pPr>
              <w:rPr>
                <w:lang w:val="fr-FR"/>
              </w:rPr>
            </w:pPr>
            <w:r w:rsidRPr="00897C47">
              <w:rPr>
                <w:sz w:val="18"/>
                <w:szCs w:val="18"/>
                <w:lang w:val="fr-FR"/>
              </w:rPr>
              <w:t>Au-dessus uniquement en Bear</w:t>
            </w:r>
          </w:p>
        </w:tc>
      </w:tr>
      <w:tr w:rsidR="00227667" w14:paraId="34CCAB1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4877B" w14:textId="77777777" w:rsidR="00227667" w:rsidRPr="00897C47" w:rsidRDefault="00000000">
            <w:pPr>
              <w:rPr>
                <w:lang w:val="fr-FR"/>
              </w:rPr>
            </w:pPr>
            <w:r w:rsidRPr="00897C47">
              <w:rPr>
                <w:sz w:val="18"/>
                <w:szCs w:val="18"/>
                <w:lang w:val="fr-FR"/>
              </w:rPr>
              <w:t>Décote vs. EV retenue 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E381A" w14:textId="77777777" w:rsidR="00227667" w:rsidRDefault="00000000">
            <w:pPr>
              <w:jc w:val="right"/>
            </w:pPr>
            <w:r>
              <w:rPr>
                <w:sz w:val="18"/>
                <w:szCs w:val="18"/>
              </w:rPr>
              <w:t>−24,4 %</w:t>
            </w:r>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AFCB0" w14:textId="77777777" w:rsidR="00227667" w:rsidRDefault="00000000">
            <w:r>
              <w:rPr>
                <w:sz w:val="18"/>
                <w:szCs w:val="18"/>
              </w:rPr>
              <w:t>Sous-</w:t>
            </w:r>
            <w:proofErr w:type="spellStart"/>
            <w:r>
              <w:rPr>
                <w:sz w:val="18"/>
                <w:szCs w:val="18"/>
              </w:rPr>
              <w:t>évalue</w:t>
            </w:r>
            <w:proofErr w:type="spellEnd"/>
            <w:r>
              <w:rPr>
                <w:sz w:val="18"/>
                <w:szCs w:val="18"/>
              </w:rPr>
              <w:t xml:space="preserve"> de ~8 395 M€</w:t>
            </w:r>
          </w:p>
        </w:tc>
      </w:tr>
      <w:tr w:rsidR="00227667" w14:paraId="4B01D604"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CCE302" w14:textId="77777777" w:rsidR="00227667" w:rsidRPr="00897C47" w:rsidRDefault="00000000">
            <w:pPr>
              <w:rPr>
                <w:lang w:val="fr-FR"/>
              </w:rPr>
            </w:pPr>
            <w:r w:rsidRPr="00897C47">
              <w:rPr>
                <w:sz w:val="18"/>
                <w:szCs w:val="18"/>
                <w:lang w:val="fr-FR"/>
              </w:rPr>
              <w:t>Décote vs. EV retenue Bull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2D8B8C" w14:textId="77777777" w:rsidR="00227667" w:rsidRDefault="00000000">
            <w:pPr>
              <w:jc w:val="right"/>
            </w:pPr>
            <w:r>
              <w:rPr>
                <w:sz w:val="18"/>
                <w:szCs w:val="18"/>
              </w:rPr>
              <w:t>−39,3 %</w:t>
            </w:r>
          </w:p>
        </w:tc>
        <w:tc>
          <w:tcPr>
            <w:tcW w:w="34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4F4474" w14:textId="77777777" w:rsidR="00227667" w:rsidRDefault="00000000">
            <w:proofErr w:type="spellStart"/>
            <w:r>
              <w:rPr>
                <w:sz w:val="18"/>
                <w:szCs w:val="18"/>
              </w:rPr>
              <w:t>Écart</w:t>
            </w:r>
            <w:proofErr w:type="spellEnd"/>
            <w:r>
              <w:rPr>
                <w:sz w:val="18"/>
                <w:szCs w:val="18"/>
              </w:rPr>
              <w:t xml:space="preserve"> très </w:t>
            </w:r>
            <w:proofErr w:type="spellStart"/>
            <w:r>
              <w:rPr>
                <w:sz w:val="18"/>
                <w:szCs w:val="18"/>
              </w:rPr>
              <w:t>significatif</w:t>
            </w:r>
            <w:proofErr w:type="spellEnd"/>
          </w:p>
        </w:tc>
      </w:tr>
      <w:tr w:rsidR="00227667" w:rsidRPr="003011B1" w14:paraId="7980814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C3EAB" w14:textId="77777777" w:rsidR="00227667" w:rsidRDefault="00000000">
            <w:proofErr w:type="spellStart"/>
            <w:r>
              <w:rPr>
                <w:sz w:val="18"/>
                <w:szCs w:val="18"/>
              </w:rPr>
              <w:t>Seuil</w:t>
            </w:r>
            <w:proofErr w:type="spellEnd"/>
            <w:r>
              <w:rPr>
                <w:sz w:val="18"/>
                <w:szCs w:val="18"/>
              </w:rPr>
              <w:t xml:space="preserve"> de veto </w:t>
            </w:r>
            <w:proofErr w:type="spellStart"/>
            <w:r>
              <w:rPr>
                <w:sz w:val="18"/>
                <w:szCs w:val="18"/>
              </w:rPr>
              <w:t>créanciers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CF4CB" w14:textId="77777777" w:rsidR="00227667" w:rsidRDefault="00000000">
            <w:pPr>
              <w:jc w:val="right"/>
            </w:pPr>
            <w:r>
              <w:rPr>
                <w:sz w:val="18"/>
                <w:szCs w:val="18"/>
              </w:rPr>
              <w:t>23 003 M€</w:t>
            </w:r>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8054F" w14:textId="77777777" w:rsidR="00227667" w:rsidRPr="00897C47" w:rsidRDefault="00000000">
            <w:pPr>
              <w:rPr>
                <w:lang w:val="fr-FR"/>
              </w:rPr>
            </w:pPr>
            <w:r w:rsidRPr="00897C47">
              <w:rPr>
                <w:sz w:val="18"/>
                <w:szCs w:val="18"/>
                <w:lang w:val="fr-FR"/>
              </w:rPr>
              <w:t>Gap de 3 003 M€ à combler</w:t>
            </w:r>
          </w:p>
        </w:tc>
      </w:tr>
    </w:tbl>
    <w:p w14:paraId="51EDBD31" w14:textId="77777777" w:rsidR="00227667" w:rsidRPr="00897C47" w:rsidRDefault="00227667">
      <w:pPr>
        <w:spacing w:after="80"/>
        <w:rPr>
          <w:lang w:val="fr-FR"/>
        </w:rPr>
      </w:pPr>
    </w:p>
    <w:p w14:paraId="287FE6A1" w14:textId="7FD449D0" w:rsidR="00227667" w:rsidRPr="00897C47" w:rsidRDefault="00000000">
      <w:pPr>
        <w:spacing w:after="120"/>
        <w:jc w:val="both"/>
        <w:rPr>
          <w:lang w:val="fr-FR"/>
        </w:rPr>
      </w:pPr>
      <w:r w:rsidRPr="00897C47">
        <w:rPr>
          <w:lang w:val="fr-FR"/>
        </w:rPr>
        <w:t>L'offre à 20 milliards d'euros traduit un multiple implicite de 5,8× l'EBITDA 2024, bien en deçà de la médiane des transactions comparables (8,85×) et de notre EV retenue en scénario Base (8,3×). Elle n'est économiquement justifiée que dans le scénario Bear, c'est-à-dire dans l'hypothèse d'une poursuite indéfinie de la dégradation opérationnelle de SFR. Elle se situe par ailleurs en dessous du seuil de veto des créanciers (23,0 milliards d'euros), ce qui signifie que Patrick Drahi ne peut accepter cette offre sans l'accord du conseil d'administration une contrainte de gouvernance déterminante pour le déroulement des négociations.</w:t>
      </w:r>
    </w:p>
    <w:p w14:paraId="4DBF828F" w14:textId="0BD1B337" w:rsidR="00227667" w:rsidRPr="00897C47" w:rsidRDefault="00000000">
      <w:pPr>
        <w:spacing w:after="120"/>
        <w:jc w:val="both"/>
        <w:rPr>
          <w:lang w:val="fr-FR"/>
        </w:rPr>
      </w:pPr>
      <w:r w:rsidRPr="00897C47">
        <w:rPr>
          <w:lang w:val="fr-FR"/>
        </w:rPr>
        <w:t xml:space="preserve">Du point de vue du consortium, une offre à 20 milliards est potentiellement créatrice de valeur si l'on anticipe des synergies post-acquisition d'au moins 3 à 5 milliards d'euros en valeur actualisée </w:t>
      </w:r>
      <w:r w:rsidR="003011B1">
        <w:rPr>
          <w:lang w:val="fr-FR"/>
        </w:rPr>
        <w:t>-</w:t>
      </w:r>
      <w:r w:rsidRPr="00897C47">
        <w:rPr>
          <w:lang w:val="fr-FR"/>
        </w:rPr>
        <w:t xml:space="preserve"> ce qui n'est pas déraisonnable pour une opération de démantèlement entre trois acquéreurs disposant d'infrastructures complémentaires. En d'autres termes, l'offre est défendable d'un point de vue stratégique, mais elle ne compense pas la valeur </w:t>
      </w:r>
      <w:proofErr w:type="spellStart"/>
      <w:r w:rsidRPr="00897C47">
        <w:rPr>
          <w:lang w:val="fr-FR"/>
        </w:rPr>
        <w:t>stand-alone</w:t>
      </w:r>
      <w:proofErr w:type="spellEnd"/>
      <w:r w:rsidRPr="00897C47">
        <w:rPr>
          <w:lang w:val="fr-FR"/>
        </w:rPr>
        <w:t xml:space="preserve"> de l'actif dans les scénarios centraux.</w:t>
      </w:r>
    </w:p>
    <w:p w14:paraId="47007A25" w14:textId="77777777" w:rsidR="00227667" w:rsidRPr="00897C47" w:rsidRDefault="00000000">
      <w:pPr>
        <w:rPr>
          <w:lang w:val="fr-FR"/>
        </w:rPr>
      </w:pPr>
      <w:r w:rsidRPr="00897C47">
        <w:rPr>
          <w:lang w:val="fr-FR"/>
        </w:rPr>
        <w:br w:type="page"/>
      </w:r>
    </w:p>
    <w:p w14:paraId="785AC13E" w14:textId="77777777" w:rsidR="00227667" w:rsidRPr="00897C47" w:rsidRDefault="00000000">
      <w:pPr>
        <w:pStyle w:val="Heading1"/>
        <w:shd w:val="clear" w:color="auto" w:fill="1F3864"/>
        <w:ind w:left="200"/>
        <w:rPr>
          <w:lang w:val="fr-FR"/>
        </w:rPr>
      </w:pPr>
      <w:r w:rsidRPr="00897C47">
        <w:rPr>
          <w:lang w:val="fr-FR"/>
        </w:rPr>
        <w:lastRenderedPageBreak/>
        <w:t>8. Analyse de sensibilité</w:t>
      </w:r>
    </w:p>
    <w:p w14:paraId="4CB465A1" w14:textId="77777777" w:rsidR="00227667" w:rsidRPr="00897C47" w:rsidRDefault="00227667">
      <w:pPr>
        <w:spacing w:after="80"/>
        <w:rPr>
          <w:lang w:val="fr-FR"/>
        </w:rPr>
      </w:pPr>
    </w:p>
    <w:p w14:paraId="3FAB9FF0" w14:textId="77777777" w:rsidR="00227667" w:rsidRPr="00897C47" w:rsidRDefault="00000000">
      <w:pPr>
        <w:spacing w:after="120"/>
        <w:jc w:val="both"/>
        <w:rPr>
          <w:lang w:val="fr-FR"/>
        </w:rPr>
      </w:pPr>
      <w:r w:rsidRPr="00897C47">
        <w:rPr>
          <w:lang w:val="fr-FR"/>
        </w:rPr>
        <w:t>L'analyse de sensibilité permet d'identifier les paramètres dont la variation a le plus d'impact sur l'Enterprise Value et donc sur la décision de prix. Deux dimensions sont analysées : (i) la sensibilité croisée WACC / taux de croissance terminal (g), et (ii) la sensibilité à la marge EBITDA projetée.</w:t>
      </w:r>
    </w:p>
    <w:p w14:paraId="36239AD9" w14:textId="77777777" w:rsidR="00227667" w:rsidRPr="00897C47" w:rsidRDefault="00227667">
      <w:pPr>
        <w:spacing w:after="80"/>
        <w:rPr>
          <w:lang w:val="fr-FR"/>
        </w:rPr>
      </w:pPr>
    </w:p>
    <w:p w14:paraId="0EF83673" w14:textId="77777777" w:rsidR="00227667" w:rsidRPr="00897C47" w:rsidRDefault="00000000">
      <w:pPr>
        <w:pStyle w:val="Heading3"/>
        <w:pBdr>
          <w:bottom w:val="single" w:sz="4" w:space="0" w:color="4472C4"/>
        </w:pBdr>
        <w:rPr>
          <w:lang w:val="fr-FR"/>
        </w:rPr>
      </w:pPr>
      <w:r w:rsidRPr="00897C47">
        <w:rPr>
          <w:lang w:val="fr-FR"/>
        </w:rPr>
        <w:t>8.1 Sensibilité EV au WACC et à g (scénario Base)</w:t>
      </w:r>
    </w:p>
    <w:p w14:paraId="634D956B" w14:textId="77777777" w:rsidR="00227667" w:rsidRPr="00897C47" w:rsidRDefault="00000000">
      <w:pPr>
        <w:spacing w:after="120"/>
        <w:jc w:val="both"/>
        <w:rPr>
          <w:lang w:val="fr-FR"/>
        </w:rPr>
      </w:pPr>
      <w:r w:rsidRPr="00897C47">
        <w:rPr>
          <w:lang w:val="fr-FR"/>
        </w:rPr>
        <w:t>Le tableau suivant présente l'Enterprise Value (€m) dans le scénario Base en faisant varier simultanément le WACC (axe horizontal) et le taux de croissance terminal g (axe vertical) :</w:t>
      </w:r>
    </w:p>
    <w:p w14:paraId="326A1A31" w14:textId="77777777" w:rsidR="00227667" w:rsidRPr="00897C47" w:rsidRDefault="00227667">
      <w:pPr>
        <w:spacing w:after="80"/>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1600"/>
        <w:gridCol w:w="1600"/>
        <w:gridCol w:w="1638"/>
      </w:tblGrid>
      <w:tr w:rsidR="00227667" w14:paraId="2B264A58" w14:textId="77777777">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2B7B87FE" w14:textId="77777777" w:rsidR="00227667" w:rsidRDefault="00000000">
            <w:pPr>
              <w:jc w:val="center"/>
            </w:pPr>
            <w:r>
              <w:rPr>
                <w:b/>
                <w:bCs/>
                <w:color w:val="FFFFFF"/>
                <w:sz w:val="18"/>
                <w:szCs w:val="18"/>
              </w:rPr>
              <w:t>g \ WACC</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3D1CEBF9" w14:textId="77777777" w:rsidR="00227667" w:rsidRDefault="00000000">
            <w:pPr>
              <w:jc w:val="center"/>
            </w:pPr>
            <w:r>
              <w:rPr>
                <w:b/>
                <w:bCs/>
                <w:color w:val="FFFFFF"/>
                <w:sz w:val="18"/>
                <w:szCs w:val="18"/>
              </w:rPr>
              <w:t>6,0 %</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19957AFD" w14:textId="77777777" w:rsidR="00227667" w:rsidRDefault="00000000">
            <w:pPr>
              <w:jc w:val="center"/>
            </w:pPr>
            <w:r>
              <w:rPr>
                <w:b/>
                <w:bCs/>
                <w:color w:val="FFFFFF"/>
                <w:sz w:val="18"/>
                <w:szCs w:val="18"/>
              </w:rPr>
              <w:t>6,5 %</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169BF2FC" w14:textId="77777777" w:rsidR="00227667" w:rsidRDefault="00000000">
            <w:pPr>
              <w:jc w:val="center"/>
            </w:pPr>
            <w:r>
              <w:rPr>
                <w:b/>
                <w:bCs/>
                <w:color w:val="FFFFFF"/>
                <w:sz w:val="18"/>
                <w:szCs w:val="18"/>
              </w:rPr>
              <w:t>7,0 %</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77C5746D" w14:textId="77777777" w:rsidR="00227667" w:rsidRDefault="00000000">
            <w:pPr>
              <w:jc w:val="center"/>
            </w:pPr>
            <w:r>
              <w:rPr>
                <w:b/>
                <w:bCs/>
                <w:color w:val="FFFFFF"/>
                <w:sz w:val="18"/>
                <w:szCs w:val="18"/>
              </w:rPr>
              <w:t>7,5 %</w:t>
            </w:r>
          </w:p>
        </w:tc>
        <w:tc>
          <w:tcPr>
            <w:tcW w:w="1638"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6D10735B" w14:textId="77777777" w:rsidR="00227667" w:rsidRDefault="00000000">
            <w:pPr>
              <w:jc w:val="center"/>
            </w:pPr>
            <w:r>
              <w:rPr>
                <w:b/>
                <w:bCs/>
                <w:color w:val="FFFFFF"/>
                <w:sz w:val="18"/>
                <w:szCs w:val="18"/>
              </w:rPr>
              <w:t>8,0 %</w:t>
            </w:r>
          </w:p>
        </w:tc>
      </w:tr>
      <w:tr w:rsidR="00227667" w14:paraId="2E6370B0" w14:textId="77777777">
        <w:tc>
          <w:tcPr>
            <w:tcW w:w="1600" w:type="dxa"/>
            <w:tcBorders>
              <w:top w:val="single" w:sz="1" w:space="0" w:color="888888"/>
              <w:left w:val="single" w:sz="1" w:space="0" w:color="888888"/>
              <w:bottom w:val="single" w:sz="1" w:space="0" w:color="888888"/>
              <w:right w:val="single" w:sz="1" w:space="0" w:color="888888"/>
            </w:tcBorders>
            <w:shd w:val="clear" w:color="auto" w:fill="2E4D7B"/>
            <w:tcMar>
              <w:top w:w="80" w:type="dxa"/>
              <w:left w:w="120" w:type="dxa"/>
              <w:bottom w:w="80" w:type="dxa"/>
              <w:right w:w="120" w:type="dxa"/>
            </w:tcMar>
          </w:tcPr>
          <w:p w14:paraId="76FED52D" w14:textId="77777777" w:rsidR="00227667" w:rsidRDefault="00000000">
            <w:pPr>
              <w:jc w:val="center"/>
            </w:pPr>
            <w:r>
              <w:rPr>
                <w:b/>
                <w:bCs/>
                <w:color w:val="FFFFFF"/>
                <w:sz w:val="18"/>
                <w:szCs w:val="18"/>
              </w:rPr>
              <w:t>0,5 %</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451CEE" w14:textId="77777777" w:rsidR="00227667" w:rsidRDefault="00000000">
            <w:pPr>
              <w:jc w:val="right"/>
            </w:pPr>
            <w:r>
              <w:rPr>
                <w:sz w:val="18"/>
                <w:szCs w:val="18"/>
              </w:rPr>
              <w:t>26 780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739A6B" w14:textId="77777777" w:rsidR="00227667" w:rsidRDefault="00000000">
            <w:pPr>
              <w:jc w:val="right"/>
            </w:pPr>
            <w:r>
              <w:rPr>
                <w:sz w:val="18"/>
                <w:szCs w:val="18"/>
              </w:rPr>
              <w:t>22 890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F7F167" w14:textId="77777777" w:rsidR="00227667" w:rsidRDefault="00000000">
            <w:pPr>
              <w:jc w:val="right"/>
            </w:pPr>
            <w:r>
              <w:rPr>
                <w:sz w:val="18"/>
                <w:szCs w:val="18"/>
              </w:rPr>
              <w:t>19 760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F50A42" w14:textId="77777777" w:rsidR="00227667" w:rsidRDefault="00000000">
            <w:pPr>
              <w:jc w:val="right"/>
            </w:pPr>
            <w:r>
              <w:rPr>
                <w:sz w:val="18"/>
                <w:szCs w:val="18"/>
              </w:rPr>
              <w:t>17 230</w:t>
            </w:r>
          </w:p>
        </w:tc>
        <w:tc>
          <w:tcPr>
            <w:tcW w:w="1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759F9" w14:textId="77777777" w:rsidR="00227667" w:rsidRDefault="00000000">
            <w:pPr>
              <w:jc w:val="right"/>
            </w:pPr>
            <w:r>
              <w:rPr>
                <w:sz w:val="18"/>
                <w:szCs w:val="18"/>
              </w:rPr>
              <w:t>15 170</w:t>
            </w:r>
          </w:p>
        </w:tc>
      </w:tr>
      <w:tr w:rsidR="00227667" w14:paraId="01715AA4" w14:textId="77777777">
        <w:tc>
          <w:tcPr>
            <w:tcW w:w="1600" w:type="dxa"/>
            <w:tcBorders>
              <w:top w:val="single" w:sz="1" w:space="0" w:color="888888"/>
              <w:left w:val="single" w:sz="1" w:space="0" w:color="888888"/>
              <w:bottom w:val="single" w:sz="1" w:space="0" w:color="888888"/>
              <w:right w:val="single" w:sz="1" w:space="0" w:color="888888"/>
            </w:tcBorders>
            <w:shd w:val="clear" w:color="auto" w:fill="2E4D7B"/>
            <w:tcMar>
              <w:top w:w="80" w:type="dxa"/>
              <w:left w:w="120" w:type="dxa"/>
              <w:bottom w:w="80" w:type="dxa"/>
              <w:right w:w="120" w:type="dxa"/>
            </w:tcMar>
          </w:tcPr>
          <w:p w14:paraId="37E6D180" w14:textId="77777777" w:rsidR="00227667" w:rsidRDefault="00000000">
            <w:pPr>
              <w:jc w:val="center"/>
            </w:pPr>
            <w:r>
              <w:rPr>
                <w:b/>
                <w:bCs/>
                <w:color w:val="FFFFFF"/>
                <w:sz w:val="18"/>
                <w:szCs w:val="18"/>
              </w:rPr>
              <w:t>1,0 %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FF2DE" w14:textId="77777777" w:rsidR="00227667" w:rsidRDefault="00000000">
            <w:pPr>
              <w:jc w:val="right"/>
            </w:pPr>
            <w:r>
              <w:rPr>
                <w:sz w:val="18"/>
                <w:szCs w:val="18"/>
              </w:rPr>
              <w:t>30 120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5008B" w14:textId="77777777" w:rsidR="00227667" w:rsidRDefault="00000000">
            <w:pPr>
              <w:jc w:val="right"/>
            </w:pPr>
            <w:r>
              <w:rPr>
                <w:sz w:val="18"/>
                <w:szCs w:val="18"/>
              </w:rPr>
              <w:t>25 480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2C2CB" w14:textId="77777777" w:rsidR="00227667" w:rsidRDefault="00000000">
            <w:pPr>
              <w:jc w:val="right"/>
            </w:pPr>
            <w:r>
              <w:rPr>
                <w:sz w:val="18"/>
                <w:szCs w:val="18"/>
              </w:rPr>
              <w:t>21 840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7A79D" w14:textId="77777777" w:rsidR="00227667" w:rsidRDefault="00000000">
            <w:pPr>
              <w:jc w:val="right"/>
            </w:pPr>
            <w:r>
              <w:rPr>
                <w:sz w:val="18"/>
                <w:szCs w:val="18"/>
              </w:rPr>
              <w:t>18 940</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5D88C" w14:textId="77777777" w:rsidR="00227667" w:rsidRDefault="00000000">
            <w:pPr>
              <w:jc w:val="right"/>
            </w:pPr>
            <w:r>
              <w:rPr>
                <w:sz w:val="18"/>
                <w:szCs w:val="18"/>
              </w:rPr>
              <w:t>16 590</w:t>
            </w:r>
          </w:p>
        </w:tc>
      </w:tr>
      <w:tr w:rsidR="00227667" w14:paraId="77ECF80B" w14:textId="77777777">
        <w:tc>
          <w:tcPr>
            <w:tcW w:w="1600" w:type="dxa"/>
            <w:tcBorders>
              <w:top w:val="single" w:sz="1" w:space="0" w:color="888888"/>
              <w:left w:val="single" w:sz="1" w:space="0" w:color="888888"/>
              <w:bottom w:val="single" w:sz="1" w:space="0" w:color="888888"/>
              <w:right w:val="single" w:sz="1" w:space="0" w:color="888888"/>
            </w:tcBorders>
            <w:shd w:val="clear" w:color="auto" w:fill="4472C4"/>
            <w:tcMar>
              <w:top w:w="80" w:type="dxa"/>
              <w:left w:w="120" w:type="dxa"/>
              <w:bottom w:w="80" w:type="dxa"/>
              <w:right w:w="120" w:type="dxa"/>
            </w:tcMar>
          </w:tcPr>
          <w:p w14:paraId="74AEE8B7" w14:textId="77777777" w:rsidR="00227667" w:rsidRDefault="00000000">
            <w:pPr>
              <w:jc w:val="center"/>
            </w:pPr>
            <w:r>
              <w:rPr>
                <w:b/>
                <w:bCs/>
                <w:color w:val="FFFFFF"/>
                <w:sz w:val="18"/>
                <w:szCs w:val="18"/>
              </w:rPr>
              <w:t>1,5 % (base)</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522BBF3" w14:textId="77777777" w:rsidR="00227667" w:rsidRDefault="00000000">
            <w:pPr>
              <w:jc w:val="right"/>
            </w:pPr>
            <w:r>
              <w:rPr>
                <w:b/>
                <w:bCs/>
                <w:sz w:val="18"/>
                <w:szCs w:val="18"/>
              </w:rPr>
              <w:t>34 510</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0914E3D" w14:textId="77777777" w:rsidR="00227667" w:rsidRDefault="00000000">
            <w:pPr>
              <w:jc w:val="right"/>
            </w:pPr>
            <w:r>
              <w:rPr>
                <w:b/>
                <w:bCs/>
                <w:sz w:val="18"/>
                <w:szCs w:val="18"/>
              </w:rPr>
              <w:t>28 830</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17368D4" w14:textId="77777777" w:rsidR="00227667" w:rsidRDefault="00000000">
            <w:pPr>
              <w:jc w:val="right"/>
            </w:pPr>
            <w:r>
              <w:rPr>
                <w:b/>
                <w:bCs/>
                <w:sz w:val="18"/>
                <w:szCs w:val="18"/>
              </w:rPr>
              <w:t>24 450</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38971B7" w14:textId="77777777" w:rsidR="00227667" w:rsidRDefault="00000000">
            <w:pPr>
              <w:jc w:val="right"/>
            </w:pPr>
            <w:r>
              <w:rPr>
                <w:b/>
                <w:bCs/>
                <w:sz w:val="18"/>
                <w:szCs w:val="18"/>
              </w:rPr>
              <w:t>21 020</w:t>
            </w:r>
          </w:p>
        </w:tc>
        <w:tc>
          <w:tcPr>
            <w:tcW w:w="1638"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ADC7E7A" w14:textId="77777777" w:rsidR="00227667" w:rsidRDefault="00000000">
            <w:pPr>
              <w:jc w:val="right"/>
            </w:pPr>
            <w:r>
              <w:rPr>
                <w:b/>
                <w:bCs/>
                <w:sz w:val="18"/>
                <w:szCs w:val="18"/>
              </w:rPr>
              <w:t>18 280</w:t>
            </w:r>
          </w:p>
        </w:tc>
      </w:tr>
      <w:tr w:rsidR="00227667" w14:paraId="5DFA1687" w14:textId="77777777">
        <w:tc>
          <w:tcPr>
            <w:tcW w:w="1600" w:type="dxa"/>
            <w:tcBorders>
              <w:top w:val="single" w:sz="1" w:space="0" w:color="888888"/>
              <w:left w:val="single" w:sz="1" w:space="0" w:color="888888"/>
              <w:bottom w:val="single" w:sz="1" w:space="0" w:color="888888"/>
              <w:right w:val="single" w:sz="1" w:space="0" w:color="888888"/>
            </w:tcBorders>
            <w:shd w:val="clear" w:color="auto" w:fill="2E4D7B"/>
            <w:tcMar>
              <w:top w:w="80" w:type="dxa"/>
              <w:left w:w="120" w:type="dxa"/>
              <w:bottom w:w="80" w:type="dxa"/>
              <w:right w:w="120" w:type="dxa"/>
            </w:tcMar>
          </w:tcPr>
          <w:p w14:paraId="58F4A339" w14:textId="77777777" w:rsidR="00227667" w:rsidRDefault="00000000">
            <w:pPr>
              <w:jc w:val="center"/>
            </w:pPr>
            <w:r>
              <w:rPr>
                <w:b/>
                <w:bCs/>
                <w:color w:val="FFFFFF"/>
                <w:sz w:val="18"/>
                <w:szCs w:val="18"/>
              </w:rPr>
              <w:t>2,0 %</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26AAD5" w14:textId="77777777" w:rsidR="00227667" w:rsidRDefault="00000000">
            <w:pPr>
              <w:jc w:val="right"/>
            </w:pPr>
            <w:r>
              <w:rPr>
                <w:sz w:val="18"/>
                <w:szCs w:val="18"/>
              </w:rPr>
              <w:t>40 610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748126" w14:textId="77777777" w:rsidR="00227667" w:rsidRDefault="00000000">
            <w:pPr>
              <w:jc w:val="right"/>
            </w:pPr>
            <w:r>
              <w:rPr>
                <w:sz w:val="18"/>
                <w:szCs w:val="18"/>
              </w:rPr>
              <w:t>33 370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8B6B7E" w14:textId="77777777" w:rsidR="00227667" w:rsidRDefault="00000000">
            <w:pPr>
              <w:jc w:val="right"/>
            </w:pPr>
            <w:r>
              <w:rPr>
                <w:sz w:val="18"/>
                <w:szCs w:val="18"/>
              </w:rPr>
              <w:t>27 910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A78EB4" w14:textId="77777777" w:rsidR="00227667" w:rsidRDefault="00000000">
            <w:pPr>
              <w:jc w:val="right"/>
            </w:pPr>
            <w:r>
              <w:rPr>
                <w:sz w:val="18"/>
                <w:szCs w:val="18"/>
              </w:rPr>
              <w:t>23 740</w:t>
            </w:r>
          </w:p>
        </w:tc>
        <w:tc>
          <w:tcPr>
            <w:tcW w:w="1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1A3F45" w14:textId="77777777" w:rsidR="00227667" w:rsidRDefault="00000000">
            <w:pPr>
              <w:jc w:val="right"/>
            </w:pPr>
            <w:r>
              <w:rPr>
                <w:sz w:val="18"/>
                <w:szCs w:val="18"/>
              </w:rPr>
              <w:t>20 450</w:t>
            </w:r>
          </w:p>
        </w:tc>
      </w:tr>
      <w:tr w:rsidR="00227667" w14:paraId="1ABD0BC0" w14:textId="77777777">
        <w:tc>
          <w:tcPr>
            <w:tcW w:w="1600" w:type="dxa"/>
            <w:tcBorders>
              <w:top w:val="single" w:sz="1" w:space="0" w:color="888888"/>
              <w:left w:val="single" w:sz="1" w:space="0" w:color="888888"/>
              <w:bottom w:val="single" w:sz="1" w:space="0" w:color="888888"/>
              <w:right w:val="single" w:sz="1" w:space="0" w:color="888888"/>
            </w:tcBorders>
            <w:shd w:val="clear" w:color="auto" w:fill="2E4D7B"/>
            <w:tcMar>
              <w:top w:w="80" w:type="dxa"/>
              <w:left w:w="120" w:type="dxa"/>
              <w:bottom w:w="80" w:type="dxa"/>
              <w:right w:w="120" w:type="dxa"/>
            </w:tcMar>
          </w:tcPr>
          <w:p w14:paraId="5E3F186D" w14:textId="77777777" w:rsidR="00227667" w:rsidRDefault="00000000">
            <w:pPr>
              <w:jc w:val="center"/>
            </w:pPr>
            <w:r>
              <w:rPr>
                <w:b/>
                <w:bCs/>
                <w:color w:val="FFFFFF"/>
                <w:sz w:val="18"/>
                <w:szCs w:val="18"/>
              </w:rPr>
              <w:t>2,5 %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8F034" w14:textId="77777777" w:rsidR="00227667" w:rsidRDefault="00000000">
            <w:pPr>
              <w:jc w:val="right"/>
            </w:pPr>
            <w:r>
              <w:rPr>
                <w:sz w:val="18"/>
                <w:szCs w:val="18"/>
              </w:rPr>
              <w:t>49 840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3D63A" w14:textId="77777777" w:rsidR="00227667" w:rsidRDefault="00000000">
            <w:pPr>
              <w:jc w:val="right"/>
            </w:pPr>
            <w:r>
              <w:rPr>
                <w:sz w:val="18"/>
                <w:szCs w:val="18"/>
              </w:rPr>
              <w:t>39 980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5906" w14:textId="77777777" w:rsidR="00227667" w:rsidRDefault="00000000">
            <w:pPr>
              <w:jc w:val="right"/>
            </w:pPr>
            <w:r>
              <w:rPr>
                <w:sz w:val="18"/>
                <w:szCs w:val="18"/>
              </w:rPr>
              <w:t>32 820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9E883" w14:textId="77777777" w:rsidR="00227667" w:rsidRDefault="00000000">
            <w:pPr>
              <w:jc w:val="right"/>
            </w:pPr>
            <w:r>
              <w:rPr>
                <w:sz w:val="18"/>
                <w:szCs w:val="18"/>
              </w:rPr>
              <w:t>27 520</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9BF50" w14:textId="77777777" w:rsidR="00227667" w:rsidRDefault="00000000">
            <w:pPr>
              <w:jc w:val="right"/>
            </w:pPr>
            <w:r>
              <w:rPr>
                <w:sz w:val="18"/>
                <w:szCs w:val="18"/>
              </w:rPr>
              <w:t>23 430</w:t>
            </w:r>
          </w:p>
        </w:tc>
      </w:tr>
    </w:tbl>
    <w:p w14:paraId="61787441" w14:textId="77777777" w:rsidR="00227667" w:rsidRDefault="00227667">
      <w:pPr>
        <w:spacing w:after="80"/>
      </w:pPr>
    </w:p>
    <w:p w14:paraId="6510C198" w14:textId="77777777" w:rsidR="00227667" w:rsidRPr="00897C47" w:rsidRDefault="00000000">
      <w:pPr>
        <w:spacing w:after="120"/>
        <w:jc w:val="both"/>
        <w:rPr>
          <w:lang w:val="fr-FR"/>
        </w:rPr>
      </w:pPr>
      <w:r w:rsidRPr="00897C47">
        <w:rPr>
          <w:i/>
          <w:iCs/>
          <w:color w:val="555555"/>
          <w:lang w:val="fr-FR"/>
        </w:rPr>
        <w:t>Note : valeurs en €m, calculées analytiquement à partir des paramètres du modèle de base. La ligne et la colonne centrales (1,5 % / 7,0 %) correspondent à l'hypothèse de base du modèle (~24 450 M€, légèrement différente du résultat exact du modèle du fait des arrondis).</w:t>
      </w:r>
    </w:p>
    <w:p w14:paraId="4EDFD835" w14:textId="77777777" w:rsidR="00227667" w:rsidRPr="00897C47" w:rsidRDefault="00227667">
      <w:pPr>
        <w:spacing w:after="80"/>
        <w:rPr>
          <w:lang w:val="fr-FR"/>
        </w:rPr>
      </w:pPr>
    </w:p>
    <w:p w14:paraId="7C7649FC" w14:textId="14CE7C1C" w:rsidR="00227667" w:rsidRPr="00897C47" w:rsidRDefault="00000000">
      <w:pPr>
        <w:spacing w:after="120"/>
        <w:jc w:val="both"/>
        <w:rPr>
          <w:lang w:val="fr-FR"/>
        </w:rPr>
      </w:pPr>
      <w:r w:rsidRPr="00897C47">
        <w:rPr>
          <w:lang w:val="fr-FR"/>
        </w:rPr>
        <w:t>La lecture de ce tableau révèle plusieurs conclusions importantes. L'Enterprise Value est plus sensible au WACC qu'au taux de croissance terminal : une variation de 100 points de base sur le WACC modifie l'EV d'environ 3 à 6 milliards d'euros, tandis qu'une variation équivalente sur g modifie l'EV de 3 à 8 milliards. La zone de valorisation cohérente avec l'offre du consortium (20 milliards d'euros) correspond à des configurations WACC ≥ 7,0 % couplées à g ≤ 1,0 % soit des hypothèses de risque élevé et de croissance faible à long terme qui ne constituent pas le scénario central mais restent plausibles dans un Bear case prolongé.</w:t>
      </w:r>
    </w:p>
    <w:p w14:paraId="6101357E" w14:textId="77777777" w:rsidR="00227667" w:rsidRPr="00897C47" w:rsidRDefault="00227667">
      <w:pPr>
        <w:spacing w:after="80"/>
        <w:rPr>
          <w:lang w:val="fr-FR"/>
        </w:rPr>
      </w:pPr>
    </w:p>
    <w:p w14:paraId="066E00D0" w14:textId="77777777" w:rsidR="00227667" w:rsidRPr="00897C47" w:rsidRDefault="00000000">
      <w:pPr>
        <w:pStyle w:val="Heading3"/>
        <w:pBdr>
          <w:bottom w:val="single" w:sz="4" w:space="0" w:color="4472C4"/>
        </w:pBdr>
        <w:rPr>
          <w:lang w:val="fr-FR"/>
        </w:rPr>
      </w:pPr>
      <w:r w:rsidRPr="00897C47">
        <w:rPr>
          <w:lang w:val="fr-FR"/>
        </w:rPr>
        <w:t>8.2 Sensibilité à la marge EBITDA 2029E (scénario Base)</w:t>
      </w:r>
    </w:p>
    <w:p w14:paraId="4521DD77" w14:textId="77777777" w:rsidR="00227667" w:rsidRPr="00897C47" w:rsidRDefault="00000000">
      <w:pPr>
        <w:spacing w:after="120"/>
        <w:jc w:val="both"/>
        <w:rPr>
          <w:lang w:val="fr-FR"/>
        </w:rPr>
      </w:pPr>
      <w:r w:rsidRPr="00897C47">
        <w:rPr>
          <w:lang w:val="fr-FR"/>
        </w:rPr>
        <w:t>La marge EBITDA terminale de 35 % retenue dans le scénario Base est l'hypothèse la plus structurante avec le WACC pour déterminer la valeur terminale. Le tableau suivant présente l'EV pour différentes marges EBITDA terminales, à WACC et g constants (6,85 % et 1,5 %) :</w:t>
      </w:r>
    </w:p>
    <w:p w14:paraId="3F39F705" w14:textId="77777777" w:rsidR="00227667" w:rsidRPr="00897C47" w:rsidRDefault="00227667">
      <w:pPr>
        <w:spacing w:after="80"/>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1440"/>
        <w:gridCol w:w="1441"/>
        <w:gridCol w:w="1475"/>
        <w:gridCol w:w="1441"/>
        <w:gridCol w:w="1303"/>
      </w:tblGrid>
      <w:tr w:rsidR="00227667" w14:paraId="2BACE9B9"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2DC65E06" w14:textId="77777777" w:rsidR="00227667" w:rsidRDefault="00000000">
            <w:pPr>
              <w:jc w:val="center"/>
            </w:pPr>
            <w:r>
              <w:rPr>
                <w:b/>
                <w:bCs/>
                <w:color w:val="FFFFFF"/>
                <w:sz w:val="18"/>
                <w:szCs w:val="18"/>
              </w:rPr>
              <w:t xml:space="preserve">Marge EBITDA </w:t>
            </w:r>
            <w:proofErr w:type="spellStart"/>
            <w:r>
              <w:rPr>
                <w:b/>
                <w:bCs/>
                <w:color w:val="FFFFFF"/>
                <w:sz w:val="18"/>
                <w:szCs w:val="18"/>
              </w:rPr>
              <w:t>terminale</w:t>
            </w:r>
            <w:proofErr w:type="spellEnd"/>
            <w:r>
              <w:rPr>
                <w:b/>
                <w:bCs/>
                <w:color w:val="FFFFFF"/>
                <w:sz w:val="18"/>
                <w:szCs w:val="18"/>
              </w:rPr>
              <w:t xml:space="preserve"> (2029E)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2E11D28A" w14:textId="77777777" w:rsidR="00227667" w:rsidRDefault="00000000">
            <w:pPr>
              <w:jc w:val="center"/>
            </w:pPr>
            <w:r>
              <w:rPr>
                <w:b/>
                <w:bCs/>
                <w:color w:val="FFFFFF"/>
                <w:sz w:val="18"/>
                <w:szCs w:val="18"/>
              </w:rPr>
              <w:t>31 %</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7CC6C11C" w14:textId="77777777" w:rsidR="00227667" w:rsidRDefault="00000000">
            <w:pPr>
              <w:jc w:val="center"/>
            </w:pPr>
            <w:r>
              <w:rPr>
                <w:b/>
                <w:bCs/>
                <w:color w:val="FFFFFF"/>
                <w:sz w:val="18"/>
                <w:szCs w:val="18"/>
              </w:rPr>
              <w:t>33 %</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6FEB4C39" w14:textId="77777777" w:rsidR="00227667" w:rsidRDefault="00000000">
            <w:pPr>
              <w:jc w:val="center"/>
            </w:pPr>
            <w:r>
              <w:rPr>
                <w:b/>
                <w:bCs/>
                <w:color w:val="FFFFFF"/>
                <w:sz w:val="18"/>
                <w:szCs w:val="18"/>
              </w:rPr>
              <w:t>35 % (base)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30D82D0E" w14:textId="77777777" w:rsidR="00227667" w:rsidRDefault="00000000">
            <w:pPr>
              <w:jc w:val="center"/>
            </w:pPr>
            <w:r>
              <w:rPr>
                <w:b/>
                <w:bCs/>
                <w:color w:val="FFFFFF"/>
                <w:sz w:val="18"/>
                <w:szCs w:val="18"/>
              </w:rPr>
              <w:t>37 %</w:t>
            </w:r>
          </w:p>
        </w:tc>
        <w:tc>
          <w:tcPr>
            <w:tcW w:w="1438"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70453FC9" w14:textId="77777777" w:rsidR="00227667" w:rsidRDefault="00000000">
            <w:pPr>
              <w:jc w:val="center"/>
            </w:pPr>
            <w:r>
              <w:rPr>
                <w:b/>
                <w:bCs/>
                <w:color w:val="FFFFFF"/>
                <w:sz w:val="18"/>
                <w:szCs w:val="18"/>
              </w:rPr>
              <w:t>39 %</w:t>
            </w:r>
          </w:p>
        </w:tc>
      </w:tr>
      <w:tr w:rsidR="00227667" w14:paraId="2F4B11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F20AC" w14:textId="77777777" w:rsidR="00227667" w:rsidRDefault="00000000">
            <w:r>
              <w:rPr>
                <w:sz w:val="18"/>
                <w:szCs w:val="18"/>
              </w:rPr>
              <w:t xml:space="preserve">EBITDA terminal </w:t>
            </w:r>
            <w:proofErr w:type="spellStart"/>
            <w:r>
              <w:rPr>
                <w:sz w:val="18"/>
                <w:szCs w:val="18"/>
              </w:rPr>
              <w:t>estimé</w:t>
            </w:r>
            <w:proofErr w:type="spellEnd"/>
            <w:r>
              <w:rPr>
                <w:sz w:val="18"/>
                <w:szCs w:val="18"/>
              </w:rPr>
              <w:t xml:space="preserve"> (€m)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E51E62" w14:textId="77777777" w:rsidR="00227667" w:rsidRDefault="00000000">
            <w:pPr>
              <w:jc w:val="right"/>
            </w:pPr>
            <w:r>
              <w:rPr>
                <w:sz w:val="18"/>
                <w:szCs w:val="18"/>
              </w:rPr>
              <w:t>3 320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B5C69" w14:textId="77777777" w:rsidR="00227667" w:rsidRDefault="00000000">
            <w:pPr>
              <w:jc w:val="right"/>
            </w:pPr>
            <w:r>
              <w:rPr>
                <w:sz w:val="18"/>
                <w:szCs w:val="18"/>
              </w:rPr>
              <w:t>3 536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A4F493" w14:textId="77777777" w:rsidR="00227667" w:rsidRDefault="00000000">
            <w:pPr>
              <w:jc w:val="right"/>
            </w:pPr>
            <w:r>
              <w:rPr>
                <w:sz w:val="18"/>
                <w:szCs w:val="18"/>
              </w:rPr>
              <w:t>3 737</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47695E" w14:textId="77777777" w:rsidR="00227667" w:rsidRDefault="00000000">
            <w:pPr>
              <w:jc w:val="right"/>
            </w:pPr>
            <w:r>
              <w:rPr>
                <w:sz w:val="18"/>
                <w:szCs w:val="18"/>
              </w:rPr>
              <w:t>3 957</w:t>
            </w:r>
          </w:p>
        </w:tc>
        <w:tc>
          <w:tcPr>
            <w:tcW w:w="14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A21D4E" w14:textId="77777777" w:rsidR="00227667" w:rsidRDefault="00000000">
            <w:pPr>
              <w:jc w:val="right"/>
            </w:pPr>
            <w:r>
              <w:rPr>
                <w:sz w:val="18"/>
                <w:szCs w:val="18"/>
              </w:rPr>
              <w:t>4 170</w:t>
            </w:r>
          </w:p>
        </w:tc>
      </w:tr>
      <w:tr w:rsidR="00227667" w14:paraId="751C9E1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DE0BA61" w14:textId="77777777" w:rsidR="00227667" w:rsidRDefault="00000000">
            <w:r>
              <w:rPr>
                <w:b/>
                <w:bCs/>
                <w:sz w:val="18"/>
                <w:szCs w:val="18"/>
              </w:rPr>
              <w:t>EV indicative (€m)</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15B130C" w14:textId="77777777" w:rsidR="00227667" w:rsidRDefault="00000000">
            <w:pPr>
              <w:jc w:val="right"/>
            </w:pPr>
            <w:r>
              <w:rPr>
                <w:b/>
                <w:bCs/>
                <w:sz w:val="18"/>
                <w:szCs w:val="18"/>
              </w:rPr>
              <w:t>~22 500</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DF69E47" w14:textId="77777777" w:rsidR="00227667" w:rsidRDefault="00000000">
            <w:pPr>
              <w:jc w:val="right"/>
            </w:pPr>
            <w:r>
              <w:rPr>
                <w:b/>
                <w:bCs/>
                <w:sz w:val="18"/>
                <w:szCs w:val="18"/>
              </w:rPr>
              <w:t>~24 500</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92311B6" w14:textId="77777777" w:rsidR="00227667" w:rsidRDefault="00000000">
            <w:pPr>
              <w:jc w:val="right"/>
            </w:pPr>
            <w:r>
              <w:rPr>
                <w:b/>
                <w:bCs/>
                <w:sz w:val="18"/>
                <w:szCs w:val="18"/>
              </w:rPr>
              <w:t>~26 500</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16B6023" w14:textId="77777777" w:rsidR="00227667" w:rsidRDefault="00000000">
            <w:pPr>
              <w:jc w:val="right"/>
            </w:pPr>
            <w:r>
              <w:rPr>
                <w:b/>
                <w:bCs/>
                <w:sz w:val="18"/>
                <w:szCs w:val="18"/>
              </w:rPr>
              <w:t>~28 600</w:t>
            </w:r>
          </w:p>
        </w:tc>
        <w:tc>
          <w:tcPr>
            <w:tcW w:w="1438"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F5403A5" w14:textId="77777777" w:rsidR="00227667" w:rsidRDefault="00000000">
            <w:pPr>
              <w:jc w:val="right"/>
            </w:pPr>
            <w:r>
              <w:rPr>
                <w:b/>
                <w:bCs/>
                <w:sz w:val="18"/>
                <w:szCs w:val="18"/>
              </w:rPr>
              <w:t>~30 700</w:t>
            </w:r>
          </w:p>
        </w:tc>
      </w:tr>
    </w:tbl>
    <w:p w14:paraId="65EAC22F" w14:textId="77777777" w:rsidR="00227667" w:rsidRDefault="00227667">
      <w:pPr>
        <w:spacing w:after="80"/>
      </w:pPr>
    </w:p>
    <w:p w14:paraId="7A286474" w14:textId="77777777" w:rsidR="00227667" w:rsidRPr="00897C47" w:rsidRDefault="00000000">
      <w:pPr>
        <w:spacing w:after="120"/>
        <w:jc w:val="both"/>
        <w:rPr>
          <w:lang w:val="fr-FR"/>
        </w:rPr>
      </w:pPr>
      <w:r w:rsidRPr="00897C47">
        <w:rPr>
          <w:lang w:val="fr-FR"/>
        </w:rPr>
        <w:t>Ce tableau illustre qu'une amélioration de 200 points de base de la marge EBITDA finale (de 33 % à 35 %) se traduit par une création de valeur d'environ 2 milliards d'euros dans l'EV. Dans la pratique, c'est précisément l'argument stratégique que les membres du consortium peuvent utiliser pour justifier une prime d'acquisition : les synergies post-consolidation permettront d'atteindre des marges EBITDA que SFR ne peut atteindre seule, en mutualisant des coûts de réseau, de systèmes d'information et de fonctions support.</w:t>
      </w:r>
    </w:p>
    <w:p w14:paraId="7AA2BF1B" w14:textId="77777777" w:rsidR="00227667" w:rsidRPr="00897C47" w:rsidRDefault="00000000">
      <w:pPr>
        <w:rPr>
          <w:lang w:val="fr-FR"/>
        </w:rPr>
      </w:pPr>
      <w:r w:rsidRPr="00897C47">
        <w:rPr>
          <w:lang w:val="fr-FR"/>
        </w:rPr>
        <w:br w:type="page"/>
      </w:r>
    </w:p>
    <w:p w14:paraId="508A7082" w14:textId="77777777" w:rsidR="00227667" w:rsidRPr="00897C47" w:rsidRDefault="00000000">
      <w:pPr>
        <w:pStyle w:val="Heading1"/>
        <w:shd w:val="clear" w:color="auto" w:fill="1F3864"/>
        <w:ind w:left="200"/>
        <w:rPr>
          <w:lang w:val="fr-FR"/>
        </w:rPr>
      </w:pPr>
      <w:r w:rsidRPr="00897C47">
        <w:rPr>
          <w:lang w:val="fr-FR"/>
        </w:rPr>
        <w:lastRenderedPageBreak/>
        <w:t>9. Conclusion et opinion de valorisation</w:t>
      </w:r>
    </w:p>
    <w:p w14:paraId="6A0B153F" w14:textId="77777777" w:rsidR="00227667" w:rsidRPr="00897C47" w:rsidRDefault="00227667">
      <w:pPr>
        <w:spacing w:after="80"/>
        <w:rPr>
          <w:lang w:val="fr-FR"/>
        </w:rPr>
      </w:pPr>
    </w:p>
    <w:p w14:paraId="463B12EA" w14:textId="77777777" w:rsidR="00227667" w:rsidRPr="00897C47" w:rsidRDefault="00000000">
      <w:pPr>
        <w:pStyle w:val="Heading3"/>
        <w:pBdr>
          <w:bottom w:val="single" w:sz="4" w:space="0" w:color="4472C4"/>
        </w:pBdr>
        <w:rPr>
          <w:lang w:val="fr-FR"/>
        </w:rPr>
      </w:pPr>
      <w:r w:rsidRPr="00897C47">
        <w:rPr>
          <w:lang w:val="fr-FR"/>
        </w:rPr>
        <w:t>9.1 Opinion sur la valeur</w:t>
      </w:r>
    </w:p>
    <w:p w14:paraId="63516C9A" w14:textId="77777777" w:rsidR="00227667" w:rsidRPr="00897C47" w:rsidRDefault="00000000">
      <w:pPr>
        <w:spacing w:after="120"/>
        <w:jc w:val="both"/>
        <w:rPr>
          <w:lang w:val="fr-FR"/>
        </w:rPr>
      </w:pPr>
      <w:r w:rsidRPr="00897C47">
        <w:rPr>
          <w:lang w:val="fr-FR"/>
        </w:rPr>
        <w:t xml:space="preserve">Sur la base de l'analyse conduite dans la présente note, la fourchette de valorisation centrale de SFR / Altice France ressort entre 24,1 et 28,4 milliards d'euros d'Enterprise Value, correspondant à un multiple EV/EBITDA 2024A de 7,0× à 8,3×. Cette fourchette est jugée représentative de la valeur intrinsèque </w:t>
      </w:r>
      <w:proofErr w:type="spellStart"/>
      <w:r w:rsidRPr="00897C47">
        <w:rPr>
          <w:lang w:val="fr-FR"/>
        </w:rPr>
        <w:t>stand-alone</w:t>
      </w:r>
      <w:proofErr w:type="spellEnd"/>
      <w:r w:rsidRPr="00897C47">
        <w:rPr>
          <w:lang w:val="fr-FR"/>
        </w:rPr>
        <w:t xml:space="preserve"> de l'actif dans un contexte de redressement progressif (scénario Base) et reflète les conditions du marché télécom européen.</w:t>
      </w:r>
    </w:p>
    <w:p w14:paraId="45C048BB" w14:textId="77777777" w:rsidR="00227667" w:rsidRPr="00897C47" w:rsidRDefault="00000000">
      <w:pPr>
        <w:spacing w:after="120"/>
        <w:jc w:val="both"/>
        <w:rPr>
          <w:lang w:val="fr-FR"/>
        </w:rPr>
      </w:pPr>
      <w:r w:rsidRPr="00897C47">
        <w:rPr>
          <w:lang w:val="fr-FR"/>
        </w:rPr>
        <w:t>L'offre actuelle du consortium à 20 milliards d'euros se situe en-dessous de cette fourchette centrale, avec une décote d'environ 24 % par rapport au scénario Base. Cette décote est partiellement explicable par plusieurs facteurs légitimes du point de vue de l'acquéreur : l'incertitude sur l'exécution du redressement commercial, l'absence de synergies intégrées dans le prix (qui seront capturées post-</w:t>
      </w:r>
      <w:proofErr w:type="spellStart"/>
      <w:r w:rsidRPr="00897C47">
        <w:rPr>
          <w:lang w:val="fr-FR"/>
        </w:rPr>
        <w:t>closing</w:t>
      </w:r>
      <w:proofErr w:type="spellEnd"/>
      <w:r w:rsidRPr="00897C47">
        <w:rPr>
          <w:lang w:val="fr-FR"/>
        </w:rPr>
        <w:t>), les risques antitrust et les coûts d'intégration. Elle reste néanmoins significative, ce qui explique le refus d'Altice et la poursuite des négociations en janvier 2026.</w:t>
      </w:r>
    </w:p>
    <w:p w14:paraId="7CB30047" w14:textId="7F657F78" w:rsidR="00227667" w:rsidRPr="00897C47" w:rsidRDefault="00000000">
      <w:pPr>
        <w:spacing w:after="120"/>
        <w:jc w:val="both"/>
        <w:rPr>
          <w:lang w:val="fr-FR"/>
        </w:rPr>
      </w:pPr>
      <w:r w:rsidRPr="00897C47">
        <w:rPr>
          <w:lang w:val="fr-FR"/>
        </w:rPr>
        <w:t>En pratique, une transaction entre 22 et 24 milliards d'euros soit un multiple de 6,4× à 7,0× l'EBITDA 2024 nous semble constituer une zone de compromis réaliste, susceptible de satisfaire à la fois les contraintes des créanciers (seuil de 23 milliards) et les impératifs de création de valeur pour le consortium, sous réserve que les synergies anticipées soient d'au moins 2 à 3 milliards en valeur actualisée.</w:t>
      </w:r>
    </w:p>
    <w:p w14:paraId="7A1E9588" w14:textId="77777777" w:rsidR="00227667" w:rsidRPr="00897C47" w:rsidRDefault="00227667">
      <w:pPr>
        <w:spacing w:after="80"/>
        <w:rPr>
          <w:lang w:val="fr-FR"/>
        </w:rPr>
      </w:pPr>
    </w:p>
    <w:p w14:paraId="025B786C" w14:textId="77777777" w:rsidR="00227667" w:rsidRPr="00897C47" w:rsidRDefault="00000000">
      <w:pPr>
        <w:pStyle w:val="Heading3"/>
        <w:pBdr>
          <w:bottom w:val="single" w:sz="4" w:space="0" w:color="4472C4"/>
        </w:pBdr>
        <w:rPr>
          <w:lang w:val="fr-FR"/>
        </w:rPr>
      </w:pPr>
      <w:r w:rsidRPr="00897C47">
        <w:rPr>
          <w:lang w:val="fr-FR"/>
        </w:rPr>
        <w:t>9.2 Limites du modèle et propositions d'amélioration</w:t>
      </w:r>
    </w:p>
    <w:p w14:paraId="0A277E03" w14:textId="77777777" w:rsidR="00227667" w:rsidRPr="00897C47" w:rsidRDefault="00000000">
      <w:pPr>
        <w:spacing w:after="120"/>
        <w:jc w:val="both"/>
        <w:rPr>
          <w:lang w:val="fr-FR"/>
        </w:rPr>
      </w:pPr>
      <w:r w:rsidRPr="00897C47">
        <w:rPr>
          <w:lang w:val="fr-FR"/>
        </w:rPr>
        <w:t>Plusieurs limites importantes doivent être mentionnées pour contextualiser les résultats de cette analyse.</w:t>
      </w:r>
    </w:p>
    <w:p w14:paraId="2819E41A" w14:textId="6E2E6083" w:rsidR="00227667" w:rsidRPr="00897C47" w:rsidRDefault="00000000">
      <w:pPr>
        <w:spacing w:after="120"/>
        <w:jc w:val="both"/>
        <w:rPr>
          <w:lang w:val="fr-FR"/>
        </w:rPr>
      </w:pPr>
      <w:r w:rsidRPr="00897C47">
        <w:rPr>
          <w:b/>
          <w:bCs/>
          <w:lang w:val="fr-FR"/>
        </w:rPr>
        <w:t xml:space="preserve">Absence de modélisation des synergies : </w:t>
      </w:r>
      <w:r w:rsidRPr="00897C47">
        <w:rPr>
          <w:lang w:val="fr-FR"/>
        </w:rPr>
        <w:t>La présente note valorise SFR en standalone. Or, la valeur stratégique de l'opération pour le consortium repose précisément sur les synergies mutualisation des réseaux, rationalisations de coûts, gains de parts de marché qui peuvent représenter 1 à 3 milliards d'euros de valeur actualisée additionnelle. Un modèle complet de type M&amp;A devrait inclure un onglet synergies avec une modélisation explicite de leur capture progressive (typiquement 3 à 5 ans) et de leurs coûts d'implémentation.</w:t>
      </w:r>
    </w:p>
    <w:p w14:paraId="04508DF6" w14:textId="77777777" w:rsidR="00227667" w:rsidRPr="00897C47" w:rsidRDefault="00000000">
      <w:pPr>
        <w:spacing w:after="120"/>
        <w:jc w:val="both"/>
        <w:rPr>
          <w:lang w:val="fr-FR"/>
        </w:rPr>
      </w:pPr>
      <w:r w:rsidRPr="00897C47">
        <w:rPr>
          <w:b/>
          <w:bCs/>
          <w:lang w:val="fr-FR"/>
        </w:rPr>
        <w:t xml:space="preserve">Assumption de D&amp;A stable : </w:t>
      </w:r>
      <w:r w:rsidRPr="00897C47">
        <w:rPr>
          <w:lang w:val="fr-FR"/>
        </w:rPr>
        <w:t>Le modèle suppose une dotation aux amortissements constante au niveau de 2024 (3 069 M€/an). Dans la réalité, le D&amp;A devrait progressivement décliner à mesure que le Capex se réduit et que les actifs déjà amortis ne sont pas remplacés à l'identique. Une modélisation dynamique du D&amp;A améliorerait la précision des projections d'EBIT et donc du calcul des impôts.</w:t>
      </w:r>
    </w:p>
    <w:p w14:paraId="2162B667" w14:textId="77777777" w:rsidR="00227667" w:rsidRPr="00897C47" w:rsidRDefault="00000000">
      <w:pPr>
        <w:spacing w:after="120"/>
        <w:jc w:val="both"/>
        <w:rPr>
          <w:lang w:val="fr-FR"/>
        </w:rPr>
      </w:pPr>
      <w:r w:rsidRPr="00897C47">
        <w:rPr>
          <w:b/>
          <w:bCs/>
          <w:lang w:val="fr-FR"/>
        </w:rPr>
        <w:t xml:space="preserve">Panel de comparables perfectible : </w:t>
      </w:r>
      <w:r w:rsidRPr="00897C47">
        <w:rPr>
          <w:lang w:val="fr-FR"/>
        </w:rPr>
        <w:t xml:space="preserve">La transaction Deutsche Telekom / GD Towers (40,7× EBITDA) est un </w:t>
      </w:r>
      <w:proofErr w:type="spellStart"/>
      <w:r w:rsidRPr="00897C47">
        <w:rPr>
          <w:lang w:val="fr-FR"/>
        </w:rPr>
        <w:t>outlier</w:t>
      </w:r>
      <w:proofErr w:type="spellEnd"/>
      <w:r w:rsidRPr="00897C47">
        <w:rPr>
          <w:lang w:val="fr-FR"/>
        </w:rPr>
        <w:t xml:space="preserve"> structurel qui devrait être retiré du panel dans toute analyse professionnelle. Idéalement, le panel devrait être complété par des données Bloomberg ou </w:t>
      </w:r>
      <w:proofErr w:type="spellStart"/>
      <w:r w:rsidRPr="00897C47">
        <w:rPr>
          <w:lang w:val="fr-FR"/>
        </w:rPr>
        <w:t>FactSet</w:t>
      </w:r>
      <w:proofErr w:type="spellEnd"/>
      <w:r w:rsidRPr="00897C47">
        <w:rPr>
          <w:lang w:val="fr-FR"/>
        </w:rPr>
        <w:t xml:space="preserve"> et inclure les transactions les plus récentes (2023–2026) en zone Europe / OCDE, avec une pondération plus forte aux transactions portant sur des opérateurs full-convergents.</w:t>
      </w:r>
    </w:p>
    <w:p w14:paraId="62FC46B3" w14:textId="77777777" w:rsidR="00227667" w:rsidRPr="00897C47" w:rsidRDefault="00000000">
      <w:pPr>
        <w:spacing w:after="120"/>
        <w:jc w:val="both"/>
        <w:rPr>
          <w:lang w:val="fr-FR"/>
        </w:rPr>
      </w:pPr>
      <w:r w:rsidRPr="00897C47">
        <w:rPr>
          <w:b/>
          <w:bCs/>
          <w:lang w:val="fr-FR"/>
        </w:rPr>
        <w:t xml:space="preserve">Sensibilité à la valeur terminale : </w:t>
      </w:r>
      <w:r w:rsidRPr="00897C47">
        <w:rPr>
          <w:lang w:val="fr-FR"/>
        </w:rPr>
        <w:t>La valeur terminale représente près de 80 % de l'Enterprise Value dans le scénario Base. Ce ratio est caractéristique des DCF télécom sur horizon court, mais il indique que les résultats doivent être interprétés avec prudence. En particulier, le taux g de 1,5 % mériterait d'être mis en débat : certains analystes utilisent un g négatif pour des actifs en déclin structurel, ce qui réduirait substantiellement l'EV DCF.</w:t>
      </w:r>
    </w:p>
    <w:p w14:paraId="033128D8" w14:textId="77777777" w:rsidR="00227667" w:rsidRPr="00897C47" w:rsidRDefault="00000000">
      <w:pPr>
        <w:spacing w:after="120"/>
        <w:jc w:val="both"/>
        <w:rPr>
          <w:lang w:val="fr-FR"/>
        </w:rPr>
      </w:pPr>
      <w:r w:rsidRPr="00897C47">
        <w:rPr>
          <w:b/>
          <w:bCs/>
          <w:lang w:val="fr-FR"/>
        </w:rPr>
        <w:t xml:space="preserve">Absence de prime de contrôle : </w:t>
      </w:r>
      <w:r w:rsidRPr="00897C47">
        <w:rPr>
          <w:lang w:val="fr-FR"/>
        </w:rPr>
        <w:t xml:space="preserve">Dans une opération M&amp;A, l'acquéreur paie généralement une prime de contrôle de 15 à 30 % sur la valeur </w:t>
      </w:r>
      <w:proofErr w:type="spellStart"/>
      <w:r w:rsidRPr="00897C47">
        <w:rPr>
          <w:lang w:val="fr-FR"/>
        </w:rPr>
        <w:t>stand-alone</w:t>
      </w:r>
      <w:proofErr w:type="spellEnd"/>
      <w:r w:rsidRPr="00897C47">
        <w:rPr>
          <w:lang w:val="fr-FR"/>
        </w:rPr>
        <w:t xml:space="preserve"> pour s'assurer l'acquisition. Cette prime n'a pas été formellement intégrée dans l'analyse, ce qui signifie que la fourchette de valorisation reflète plutôt une valeur de référence que la valeur maximale payable par le consortium.</w:t>
      </w:r>
    </w:p>
    <w:p w14:paraId="0FF8A02B" w14:textId="77777777" w:rsidR="00227667" w:rsidRDefault="00227667">
      <w:pPr>
        <w:spacing w:after="80"/>
        <w:rPr>
          <w:lang w:val="fr-FR"/>
        </w:rPr>
      </w:pPr>
    </w:p>
    <w:p w14:paraId="2DE47288" w14:textId="77777777" w:rsidR="00E9304F" w:rsidRDefault="00E9304F">
      <w:pPr>
        <w:spacing w:after="80"/>
        <w:rPr>
          <w:lang w:val="fr-FR"/>
        </w:rPr>
      </w:pPr>
    </w:p>
    <w:p w14:paraId="203378F0" w14:textId="77777777" w:rsidR="00E9304F" w:rsidRDefault="00E9304F">
      <w:pPr>
        <w:spacing w:after="80"/>
        <w:rPr>
          <w:lang w:val="fr-FR"/>
        </w:rPr>
      </w:pPr>
    </w:p>
    <w:p w14:paraId="0542233C" w14:textId="77777777" w:rsidR="00E9304F" w:rsidRDefault="00E9304F">
      <w:pPr>
        <w:spacing w:after="80"/>
        <w:rPr>
          <w:lang w:val="fr-FR"/>
        </w:rPr>
      </w:pPr>
    </w:p>
    <w:p w14:paraId="3CF48C3D" w14:textId="77777777" w:rsidR="00E9304F" w:rsidRDefault="00E9304F">
      <w:pPr>
        <w:spacing w:after="80"/>
        <w:rPr>
          <w:lang w:val="fr-FR"/>
        </w:rPr>
      </w:pPr>
    </w:p>
    <w:p w14:paraId="10E84601" w14:textId="77777777" w:rsidR="00E9304F" w:rsidRDefault="00E9304F">
      <w:pPr>
        <w:spacing w:after="80"/>
        <w:rPr>
          <w:lang w:val="fr-FR"/>
        </w:rPr>
      </w:pPr>
    </w:p>
    <w:p w14:paraId="52A7D9F3" w14:textId="77777777" w:rsidR="00E9304F" w:rsidRDefault="00E9304F">
      <w:pPr>
        <w:spacing w:after="80"/>
        <w:rPr>
          <w:lang w:val="fr-FR"/>
        </w:rPr>
      </w:pPr>
    </w:p>
    <w:p w14:paraId="6CF1E6CA" w14:textId="77777777" w:rsidR="00E9304F" w:rsidRPr="00897C47" w:rsidRDefault="00E9304F" w:rsidP="00E9304F">
      <w:pPr>
        <w:rPr>
          <w:lang w:val="fr-FR"/>
        </w:rPr>
      </w:pPr>
    </w:p>
    <w:p w14:paraId="50253FDB" w14:textId="77777777" w:rsidR="00227667" w:rsidRPr="00897C47" w:rsidRDefault="00000000">
      <w:pPr>
        <w:pStyle w:val="Heading3"/>
        <w:pBdr>
          <w:bottom w:val="single" w:sz="4" w:space="0" w:color="4472C4"/>
        </w:pBdr>
        <w:rPr>
          <w:lang w:val="fr-FR"/>
        </w:rPr>
      </w:pPr>
      <w:r w:rsidRPr="00897C47">
        <w:rPr>
          <w:lang w:val="fr-FR"/>
        </w:rPr>
        <w:lastRenderedPageBreak/>
        <w:t>9.3 Points de vigilance pour la suite du processus</w:t>
      </w:r>
    </w:p>
    <w:p w14:paraId="400F81CF" w14:textId="7C6570C4" w:rsidR="00227667" w:rsidRPr="00897C47" w:rsidRDefault="00000000">
      <w:pPr>
        <w:spacing w:after="120"/>
        <w:jc w:val="both"/>
        <w:rPr>
          <w:lang w:val="fr-FR"/>
        </w:rPr>
      </w:pPr>
      <w:r w:rsidRPr="00897C47">
        <w:rPr>
          <w:lang w:val="fr-FR"/>
        </w:rPr>
        <w:t xml:space="preserve">Dans le cadre de la poursuite des due diligences et des négociations, plusieurs points méritent une attention particulière. L'issue du processus antitrust demeure le risque calendaire et politique le plus incertain : l'Autorité de la concurrence a signalé qu'une décision avant fin 2026 est improbable, et le passage de quatre à trois opérateurs pourrait être conditionné à des remèdes structurels lourds (itinérance imposée à un quatrième opérateur virtuel, cession d'actifs spectraux). La répartition des actifs entre les trois membres du consortium </w:t>
      </w:r>
      <w:r w:rsidR="003011B1">
        <w:rPr>
          <w:lang w:val="fr-FR"/>
        </w:rPr>
        <w:t>-</w:t>
      </w:r>
      <w:r w:rsidRPr="00897C47">
        <w:rPr>
          <w:lang w:val="fr-FR"/>
        </w:rPr>
        <w:t xml:space="preserve"> Bouygues (43 %), Iliad (30 %), Orange (27 %) </w:t>
      </w:r>
      <w:r w:rsidR="003011B1">
        <w:rPr>
          <w:lang w:val="fr-FR"/>
        </w:rPr>
        <w:t>-</w:t>
      </w:r>
      <w:r w:rsidRPr="00897C47">
        <w:rPr>
          <w:lang w:val="fr-FR"/>
        </w:rPr>
        <w:t xml:space="preserve"> est source de tensions potentielles, chaque opérateur cherchant à maximiser sa part des actifs les plus stratégiques (clients entreprises, fréquences 5G, réseau fibre). Enfin, le profil social de l'opération </w:t>
      </w:r>
      <w:r w:rsidR="003011B1">
        <w:rPr>
          <w:lang w:val="fr-FR"/>
        </w:rPr>
        <w:t>-</w:t>
      </w:r>
      <w:r w:rsidRPr="00897C47">
        <w:rPr>
          <w:lang w:val="fr-FR"/>
        </w:rPr>
        <w:t xml:space="preserve"> avec plus de 6 000 suppressions de postes potentiellement anticipées par les syndicats </w:t>
      </w:r>
      <w:r w:rsidR="003011B1">
        <w:rPr>
          <w:lang w:val="fr-FR"/>
        </w:rPr>
        <w:t>-</w:t>
      </w:r>
      <w:r w:rsidRPr="00897C47">
        <w:rPr>
          <w:lang w:val="fr-FR"/>
        </w:rPr>
        <w:t xml:space="preserve"> représente un risque de calendrier et d'image qui pourrait influencer le cadre politique dans lequel le régulateur instruira le dossier.</w:t>
      </w:r>
    </w:p>
    <w:p w14:paraId="2DF3C674" w14:textId="77777777" w:rsidR="00227667" w:rsidRPr="00897C47" w:rsidRDefault="00227667">
      <w:pPr>
        <w:spacing w:after="200"/>
        <w:rPr>
          <w:lang w:val="fr-FR"/>
        </w:rPr>
      </w:pPr>
    </w:p>
    <w:p w14:paraId="7C112B53" w14:textId="13A89A00" w:rsidR="00227667" w:rsidRPr="00897C47" w:rsidRDefault="003011B1">
      <w:pPr>
        <w:spacing w:before="240"/>
        <w:jc w:val="center"/>
        <w:rPr>
          <w:lang w:val="fr-FR"/>
        </w:rPr>
      </w:pPr>
      <w:r>
        <w:rPr>
          <w:i/>
          <w:iCs/>
          <w:color w:val="888888"/>
          <w:lang w:val="fr-FR"/>
        </w:rPr>
        <w:t>-</w:t>
      </w:r>
      <w:r w:rsidR="00000000" w:rsidRPr="00897C47">
        <w:rPr>
          <w:i/>
          <w:iCs/>
          <w:color w:val="888888"/>
          <w:lang w:val="fr-FR"/>
        </w:rPr>
        <w:t xml:space="preserve"> Fin du document </w:t>
      </w:r>
      <w:r>
        <w:rPr>
          <w:i/>
          <w:iCs/>
          <w:color w:val="888888"/>
          <w:lang w:val="fr-FR"/>
        </w:rPr>
        <w:t>-</w:t>
      </w:r>
    </w:p>
    <w:p w14:paraId="39B81187" w14:textId="77777777" w:rsidR="00227667" w:rsidRPr="00897C47" w:rsidRDefault="00227667">
      <w:pPr>
        <w:spacing w:after="80"/>
        <w:rPr>
          <w:lang w:val="fr-FR"/>
        </w:rPr>
      </w:pPr>
    </w:p>
    <w:p w14:paraId="658543FA" w14:textId="2343E0C3" w:rsidR="00227667" w:rsidRPr="00897C47" w:rsidRDefault="00000000">
      <w:pPr>
        <w:jc w:val="center"/>
        <w:rPr>
          <w:lang w:val="fr-FR"/>
        </w:rPr>
      </w:pPr>
      <w:r w:rsidRPr="00897C47">
        <w:rPr>
          <w:i/>
          <w:iCs/>
          <w:color w:val="888888"/>
          <w:lang w:val="fr-FR"/>
        </w:rPr>
        <w:t xml:space="preserve">Sources : Altice France SA </w:t>
      </w:r>
      <w:r w:rsidR="003011B1">
        <w:rPr>
          <w:i/>
          <w:iCs/>
          <w:color w:val="888888"/>
          <w:lang w:val="fr-FR"/>
        </w:rPr>
        <w:t>-</w:t>
      </w:r>
      <w:r w:rsidRPr="00897C47">
        <w:rPr>
          <w:i/>
          <w:iCs/>
          <w:color w:val="888888"/>
          <w:lang w:val="fr-FR"/>
        </w:rPr>
        <w:t xml:space="preserve"> Comptes consolidés IFRS audités 2022, 2023, 2024. Presse financière (BFM Business, Financial Times, Bloomberg). Modèle financier propriétaire. Ce document est établi à des fins pédagogiques et ne constitue pas un conseil en investissement.</w:t>
      </w:r>
    </w:p>
    <w:sectPr w:rsidR="00227667" w:rsidRPr="00897C47">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802DE" w14:textId="77777777" w:rsidR="00BF61B2" w:rsidRDefault="00BF61B2">
      <w:r>
        <w:separator/>
      </w:r>
    </w:p>
  </w:endnote>
  <w:endnote w:type="continuationSeparator" w:id="0">
    <w:p w14:paraId="6F43B685" w14:textId="77777777" w:rsidR="00BF61B2" w:rsidRDefault="00BF6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DC699" w14:textId="3EFA3030" w:rsidR="00227667" w:rsidRPr="00897C47" w:rsidRDefault="00000000">
    <w:pPr>
      <w:pBdr>
        <w:top w:val="single" w:sz="2" w:space="0" w:color="4472C4"/>
      </w:pBdr>
      <w:tabs>
        <w:tab w:val="right" w:pos="9638"/>
      </w:tabs>
      <w:spacing w:before="80"/>
      <w:rPr>
        <w:lang w:val="fr-FR"/>
      </w:rPr>
    </w:pPr>
    <w:r w:rsidRPr="00897C47">
      <w:rPr>
        <w:i/>
        <w:iCs/>
        <w:color w:val="888888"/>
        <w:sz w:val="16"/>
        <w:szCs w:val="16"/>
        <w:lang w:val="fr-FR"/>
      </w:rPr>
      <w:t xml:space="preserve">Analyse M&amp;A </w:t>
    </w:r>
    <w:r w:rsidR="003011B1">
      <w:rPr>
        <w:i/>
        <w:iCs/>
        <w:color w:val="888888"/>
        <w:sz w:val="16"/>
        <w:szCs w:val="16"/>
        <w:lang w:val="fr-FR"/>
      </w:rPr>
      <w:t>-</w:t>
    </w:r>
    <w:r w:rsidRPr="00897C47">
      <w:rPr>
        <w:i/>
        <w:iCs/>
        <w:color w:val="888888"/>
        <w:sz w:val="16"/>
        <w:szCs w:val="16"/>
        <w:lang w:val="fr-FR"/>
      </w:rPr>
      <w:t xml:space="preserve"> Projet personnel</w:t>
    </w:r>
    <w:r w:rsidRPr="00897C47">
      <w:rPr>
        <w:sz w:val="16"/>
        <w:szCs w:val="16"/>
        <w:lang w:val="fr-FR"/>
      </w:rPr>
      <w:tab/>
    </w:r>
    <w:r w:rsidRPr="00897C47">
      <w:rPr>
        <w:color w:val="888888"/>
        <w:sz w:val="16"/>
        <w:szCs w:val="16"/>
        <w:lang w:val="fr-FR"/>
      </w:rPr>
      <w:t xml:space="preserve">Page </w:t>
    </w:r>
    <w:r>
      <w:rPr>
        <w:color w:val="888888"/>
        <w:sz w:val="16"/>
        <w:szCs w:val="16"/>
      </w:rPr>
      <w:fldChar w:fldCharType="begin"/>
    </w:r>
    <w:r w:rsidRPr="00897C47">
      <w:rPr>
        <w:color w:val="888888"/>
        <w:sz w:val="16"/>
        <w:szCs w:val="16"/>
        <w:lang w:val="fr-FR"/>
      </w:rPr>
      <w:instrText>PAGE</w:instrText>
    </w:r>
    <w:r>
      <w:rPr>
        <w:color w:val="888888"/>
        <w:sz w:val="16"/>
        <w:szCs w:val="16"/>
      </w:rPr>
      <w:fldChar w:fldCharType="separate"/>
    </w:r>
    <w:r w:rsidR="00897C47" w:rsidRPr="00897C47">
      <w:rPr>
        <w:noProof/>
        <w:color w:val="888888"/>
        <w:sz w:val="16"/>
        <w:szCs w:val="16"/>
        <w:lang w:val="fr-FR"/>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B9163" w14:textId="77777777" w:rsidR="00BF61B2" w:rsidRDefault="00BF61B2">
      <w:r>
        <w:separator/>
      </w:r>
    </w:p>
  </w:footnote>
  <w:footnote w:type="continuationSeparator" w:id="0">
    <w:p w14:paraId="1C945681" w14:textId="77777777" w:rsidR="00BF61B2" w:rsidRDefault="00BF61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92B3" w14:textId="1FDB4788" w:rsidR="00227667" w:rsidRPr="00897C47" w:rsidRDefault="00000000">
    <w:pPr>
      <w:pBdr>
        <w:bottom w:val="single" w:sz="4" w:space="0" w:color="4472C4"/>
      </w:pBdr>
      <w:tabs>
        <w:tab w:val="right" w:pos="9638"/>
      </w:tabs>
      <w:spacing w:after="80"/>
      <w:rPr>
        <w:lang w:val="fr-FR"/>
      </w:rPr>
    </w:pPr>
    <w:r w:rsidRPr="00897C47">
      <w:rPr>
        <w:color w:val="2E4D7B"/>
        <w:sz w:val="16"/>
        <w:szCs w:val="16"/>
        <w:lang w:val="fr-FR"/>
      </w:rPr>
      <w:t xml:space="preserve">NOTE DE VALORISATION </w:t>
    </w:r>
    <w:r w:rsidR="003011B1">
      <w:rPr>
        <w:color w:val="2E4D7B"/>
        <w:sz w:val="16"/>
        <w:szCs w:val="16"/>
        <w:lang w:val="fr-FR"/>
      </w:rPr>
      <w:t>-</w:t>
    </w:r>
    <w:r w:rsidRPr="00897C47">
      <w:rPr>
        <w:color w:val="2E4D7B"/>
        <w:sz w:val="16"/>
        <w:szCs w:val="16"/>
        <w:lang w:val="fr-FR"/>
      </w:rPr>
      <w:t xml:space="preserve"> SFR / ALTICE FRANCE</w:t>
    </w:r>
    <w:r w:rsidRPr="00897C47">
      <w:rPr>
        <w:sz w:val="16"/>
        <w:szCs w:val="16"/>
        <w:lang w:val="fr-FR"/>
      </w:rPr>
      <w:tab/>
    </w:r>
    <w:r w:rsidR="00897C47">
      <w:rPr>
        <w:i/>
        <w:iCs/>
        <w:color w:val="888888"/>
        <w:sz w:val="16"/>
        <w:szCs w:val="16"/>
        <w:lang w:val="fr-FR"/>
      </w:rPr>
      <w:t>Oscar Rousset</w:t>
    </w:r>
    <w:r w:rsidRPr="00897C47">
      <w:rPr>
        <w:i/>
        <w:iCs/>
        <w:color w:val="888888"/>
        <w:sz w:val="16"/>
        <w:szCs w:val="16"/>
        <w:lang w:val="fr-FR"/>
      </w:rPr>
      <w:t xml:space="preserve"> </w:t>
    </w:r>
    <w:r w:rsidR="00897C47">
      <w:rPr>
        <w:i/>
        <w:iCs/>
        <w:color w:val="888888"/>
        <w:sz w:val="16"/>
        <w:szCs w:val="16"/>
        <w:lang w:val="fr-FR"/>
      </w:rPr>
      <w:t>-</w:t>
    </w:r>
    <w:r w:rsidRPr="00897C47">
      <w:rPr>
        <w:i/>
        <w:iCs/>
        <w:color w:val="888888"/>
        <w:sz w:val="16"/>
        <w:szCs w:val="16"/>
        <w:lang w:val="fr-FR"/>
      </w:rPr>
      <w:t xml:space="preserve"> Avril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313E1E"/>
    <w:multiLevelType w:val="hybridMultilevel"/>
    <w:tmpl w:val="886ADCB8"/>
    <w:lvl w:ilvl="0" w:tplc="430A376E">
      <w:start w:val="1"/>
      <w:numFmt w:val="bullet"/>
      <w:lvlText w:val="•"/>
      <w:lvlJc w:val="left"/>
      <w:pPr>
        <w:ind w:left="720" w:hanging="360"/>
      </w:pPr>
    </w:lvl>
    <w:lvl w:ilvl="1" w:tplc="F9C23642">
      <w:numFmt w:val="decimal"/>
      <w:lvlText w:val=""/>
      <w:lvlJc w:val="left"/>
    </w:lvl>
    <w:lvl w:ilvl="2" w:tplc="EC04D7E4">
      <w:numFmt w:val="decimal"/>
      <w:lvlText w:val=""/>
      <w:lvlJc w:val="left"/>
    </w:lvl>
    <w:lvl w:ilvl="3" w:tplc="C7023556">
      <w:numFmt w:val="decimal"/>
      <w:lvlText w:val=""/>
      <w:lvlJc w:val="left"/>
    </w:lvl>
    <w:lvl w:ilvl="4" w:tplc="7E608C42">
      <w:numFmt w:val="decimal"/>
      <w:lvlText w:val=""/>
      <w:lvlJc w:val="left"/>
    </w:lvl>
    <w:lvl w:ilvl="5" w:tplc="63B0B590">
      <w:numFmt w:val="decimal"/>
      <w:lvlText w:val=""/>
      <w:lvlJc w:val="left"/>
    </w:lvl>
    <w:lvl w:ilvl="6" w:tplc="CD887AF8">
      <w:numFmt w:val="decimal"/>
      <w:lvlText w:val=""/>
      <w:lvlJc w:val="left"/>
    </w:lvl>
    <w:lvl w:ilvl="7" w:tplc="EB50DA40">
      <w:numFmt w:val="decimal"/>
      <w:lvlText w:val=""/>
      <w:lvlJc w:val="left"/>
    </w:lvl>
    <w:lvl w:ilvl="8" w:tplc="7B34DB94">
      <w:numFmt w:val="decimal"/>
      <w:lvlText w:val=""/>
      <w:lvlJc w:val="left"/>
    </w:lvl>
  </w:abstractNum>
  <w:abstractNum w:abstractNumId="1" w15:restartNumberingAfterBreak="0">
    <w:nsid w:val="7D11583B"/>
    <w:multiLevelType w:val="hybridMultilevel"/>
    <w:tmpl w:val="687CBB50"/>
    <w:lvl w:ilvl="0" w:tplc="98FC691C">
      <w:start w:val="1"/>
      <w:numFmt w:val="bullet"/>
      <w:lvlText w:val="●"/>
      <w:lvlJc w:val="left"/>
      <w:pPr>
        <w:ind w:left="720" w:hanging="360"/>
      </w:pPr>
    </w:lvl>
    <w:lvl w:ilvl="1" w:tplc="D6562454">
      <w:start w:val="1"/>
      <w:numFmt w:val="bullet"/>
      <w:lvlText w:val="○"/>
      <w:lvlJc w:val="left"/>
      <w:pPr>
        <w:ind w:left="1440" w:hanging="360"/>
      </w:pPr>
    </w:lvl>
    <w:lvl w:ilvl="2" w:tplc="FD36B452">
      <w:start w:val="1"/>
      <w:numFmt w:val="bullet"/>
      <w:lvlText w:val="■"/>
      <w:lvlJc w:val="left"/>
      <w:pPr>
        <w:ind w:left="2160" w:hanging="360"/>
      </w:pPr>
    </w:lvl>
    <w:lvl w:ilvl="3" w:tplc="3BB04CE4">
      <w:start w:val="1"/>
      <w:numFmt w:val="bullet"/>
      <w:lvlText w:val="●"/>
      <w:lvlJc w:val="left"/>
      <w:pPr>
        <w:ind w:left="2880" w:hanging="360"/>
      </w:pPr>
    </w:lvl>
    <w:lvl w:ilvl="4" w:tplc="5DAC18A4">
      <w:start w:val="1"/>
      <w:numFmt w:val="bullet"/>
      <w:lvlText w:val="○"/>
      <w:lvlJc w:val="left"/>
      <w:pPr>
        <w:ind w:left="3600" w:hanging="360"/>
      </w:pPr>
    </w:lvl>
    <w:lvl w:ilvl="5" w:tplc="A79C947E">
      <w:start w:val="1"/>
      <w:numFmt w:val="bullet"/>
      <w:lvlText w:val="■"/>
      <w:lvlJc w:val="left"/>
      <w:pPr>
        <w:ind w:left="4320" w:hanging="360"/>
      </w:pPr>
    </w:lvl>
    <w:lvl w:ilvl="6" w:tplc="5260C19E">
      <w:start w:val="1"/>
      <w:numFmt w:val="bullet"/>
      <w:lvlText w:val="●"/>
      <w:lvlJc w:val="left"/>
      <w:pPr>
        <w:ind w:left="5040" w:hanging="360"/>
      </w:pPr>
    </w:lvl>
    <w:lvl w:ilvl="7" w:tplc="40B4894A">
      <w:start w:val="1"/>
      <w:numFmt w:val="bullet"/>
      <w:lvlText w:val="●"/>
      <w:lvlJc w:val="left"/>
      <w:pPr>
        <w:ind w:left="5760" w:hanging="360"/>
      </w:pPr>
    </w:lvl>
    <w:lvl w:ilvl="8" w:tplc="4F9692D0">
      <w:start w:val="1"/>
      <w:numFmt w:val="bullet"/>
      <w:lvlText w:val="●"/>
      <w:lvlJc w:val="left"/>
      <w:pPr>
        <w:ind w:left="6480" w:hanging="360"/>
      </w:pPr>
    </w:lvl>
  </w:abstractNum>
  <w:num w:numId="1" w16cid:durableId="5416738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667"/>
    <w:rsid w:val="00023274"/>
    <w:rsid w:val="001B0DB2"/>
    <w:rsid w:val="00227667"/>
    <w:rsid w:val="003011B1"/>
    <w:rsid w:val="007802D1"/>
    <w:rsid w:val="00897C47"/>
    <w:rsid w:val="00937EA2"/>
    <w:rsid w:val="00A22A69"/>
    <w:rsid w:val="00A77D01"/>
    <w:rsid w:val="00A821F7"/>
    <w:rsid w:val="00BF61B2"/>
    <w:rsid w:val="00C67981"/>
    <w:rsid w:val="00CD3A95"/>
    <w:rsid w:val="00E93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15B4D"/>
  <w15:docId w15:val="{FBC051B5-AE3D-48E9-9364-F4F096B87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FFFFFF"/>
      <w:sz w:val="28"/>
      <w:szCs w:val="28"/>
    </w:rPr>
  </w:style>
  <w:style w:type="paragraph" w:styleId="Heading2">
    <w:name w:val="heading 2"/>
    <w:uiPriority w:val="9"/>
    <w:unhideWhenUsed/>
    <w:qFormat/>
    <w:pPr>
      <w:spacing w:before="200" w:after="120"/>
      <w:outlineLvl w:val="1"/>
    </w:pPr>
    <w:rPr>
      <w:b/>
      <w:bCs/>
      <w:color w:val="FFFFFF"/>
      <w:sz w:val="24"/>
      <w:szCs w:val="24"/>
    </w:rPr>
  </w:style>
  <w:style w:type="paragraph" w:styleId="Heading3">
    <w:name w:val="heading 3"/>
    <w:uiPriority w:val="9"/>
    <w:unhideWhenUsed/>
    <w:qFormat/>
    <w:pPr>
      <w:spacing w:before="16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97C47"/>
    <w:pPr>
      <w:tabs>
        <w:tab w:val="center" w:pos="4703"/>
        <w:tab w:val="right" w:pos="9406"/>
      </w:tabs>
    </w:pPr>
  </w:style>
  <w:style w:type="character" w:customStyle="1" w:styleId="HeaderChar">
    <w:name w:val="Header Char"/>
    <w:basedOn w:val="DefaultParagraphFont"/>
    <w:link w:val="Header"/>
    <w:uiPriority w:val="99"/>
    <w:rsid w:val="00897C47"/>
  </w:style>
  <w:style w:type="paragraph" w:styleId="Footer">
    <w:name w:val="footer"/>
    <w:basedOn w:val="Normal"/>
    <w:link w:val="FooterChar"/>
    <w:uiPriority w:val="99"/>
    <w:unhideWhenUsed/>
    <w:rsid w:val="00897C47"/>
    <w:pPr>
      <w:tabs>
        <w:tab w:val="center" w:pos="4703"/>
        <w:tab w:val="right" w:pos="9406"/>
      </w:tabs>
    </w:pPr>
  </w:style>
  <w:style w:type="character" w:customStyle="1" w:styleId="FooterChar">
    <w:name w:val="Footer Char"/>
    <w:basedOn w:val="DefaultParagraphFont"/>
    <w:link w:val="Footer"/>
    <w:uiPriority w:val="99"/>
    <w:rsid w:val="00897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5192</Words>
  <Characters>29595</Characters>
  <Application>Microsoft Office Word</Application>
  <DocSecurity>0</DocSecurity>
  <Lines>246</Lines>
  <Paragraphs>69</Paragraphs>
  <ScaleCrop>false</ScaleCrop>
  <Company/>
  <LinksUpToDate>false</LinksUpToDate>
  <CharactersWithSpaces>34718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Rousset</cp:lastModifiedBy>
  <cp:revision>5</cp:revision>
  <cp:lastPrinted>2026-04-07T21:13:00Z</cp:lastPrinted>
  <dcterms:created xsi:type="dcterms:W3CDTF">2026-04-07T21:12:00Z</dcterms:created>
  <dcterms:modified xsi:type="dcterms:W3CDTF">2026-04-11T12:13:00Z</dcterms:modified>
</cp:coreProperties>
</file>