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D6E2" w14:textId="318176D6" w:rsidR="00890575" w:rsidRPr="00890575" w:rsidRDefault="00890575" w:rsidP="00890575">
      <w:pPr>
        <w:pStyle w:val="AcademicTitle"/>
        <w:spacing w:after="0"/>
        <w:ind w:firstLine="0"/>
        <w:jc w:val="center"/>
        <w:rPr>
          <w:rFonts w:ascii="Bahnschrift Light SemiCondensed" w:eastAsia="Dotum" w:hAnsi="Bahnschrift Light SemiCondensed" w:cs="DokChampa"/>
          <w:color w:val="000000" w:themeColor="text1"/>
          <w:u w:val="single"/>
        </w:rPr>
      </w:pPr>
      <w:r w:rsidRPr="00890575">
        <w:rPr>
          <w:rFonts w:ascii="Garamond" w:eastAsia="Garamond" w:hAnsi="Garamond" w:cs="Garamond"/>
          <w:b/>
          <w:color w:val="000000" w:themeColor="text1"/>
          <w:sz w:val="40"/>
          <w:u w:val="none"/>
          <w:lang w:val="es-ES"/>
        </w:rPr>
        <w:t>CUERPOS</w:t>
      </w:r>
      <w:r w:rsidRPr="00890575">
        <w:rPr>
          <w:rFonts w:ascii="Garamond" w:eastAsia="Garamond" w:hAnsi="Garamond" w:cs="Garamond"/>
          <w:b/>
          <w:color w:val="000000" w:themeColor="text1"/>
          <w:sz w:val="40"/>
          <w:u w:val="none"/>
          <w:lang w:val="es-ES"/>
        </w:rPr>
        <w:t xml:space="preserve"> y MENTES en la CIUDAD de las COSAS</w:t>
      </w:r>
    </w:p>
    <w:p w14:paraId="4B9E7EB5" w14:textId="77777777" w:rsidR="00890575" w:rsidRPr="00890575" w:rsidRDefault="00890575" w:rsidP="00890575">
      <w:pPr>
        <w:pStyle w:val="AcademicAuthor"/>
        <w:spacing w:after="0"/>
        <w:ind w:firstLine="0"/>
        <w:jc w:val="center"/>
        <w:rPr>
          <w:rFonts w:ascii="Bahnschrift Light SemiCondensed" w:eastAsia="Dotum" w:hAnsi="Bahnschrift Light SemiCondensed" w:cs="DokChampa"/>
          <w:color w:val="000000" w:themeColor="text1"/>
          <w:u w:val="single"/>
        </w:rPr>
      </w:pPr>
      <w:r>
        <w:rPr>
          <w:rFonts w:ascii="Garamond" w:hAnsi="Garamond" w:eastAsia="Garamond" w:cs="Garamond"/>
          <w:smallCaps/>
          <w:sz w:val="21"/>
          <w:lang w:val="es-ES"/>
        </w:rPr>
        <w:t>Joan Carbonell</w:t>
      </w:r>
    </w:p>
    <w:p w14:paraId="1FED7908" w14:textId="3ABADFDE" w:rsidR="00890575" w:rsidRPr="00890575" w:rsidRDefault="00890575" w:rsidP="00890575">
      <w:pPr>
        <w:pStyle w:val="AcademicBody"/>
        <w:spacing w:after="120" w:line="300" w:lineRule="auto" w:before="0"/>
        <w:ind w:left="0" w:right="0" w:firstLine="0"/>
        <w:jc w:val="both"/>
        <w:rPr>
          <w:rFonts w:ascii="Bahnschrift Light SemiCondensed" w:eastAsia="Dotum" w:hAnsi="Bahnschrift Light SemiCondensed" w:cs="DokChampa"/>
        </w:rPr>
      </w:pPr>
      <w:r>
        <w:rPr>
          <w:rFonts w:ascii="Garamond" w:eastAsia="Garamond" w:hAnsi="Garamond" w:cs="Garamond"/>
          <w:sz w:val="23"/>
          <w:lang w:val="es-ES"/>
        </w:rPr>
        <w:t>L</w:t>
      </w:r>
      <w:r w:rsidRPr="00890575">
        <w:rPr>
          <w:rFonts w:ascii="Garamond" w:eastAsia="Garamond" w:hAnsi="Garamond" w:cs="Garamond"/>
          <w:sz w:val="23"/>
          <w:lang w:val="es-ES"/>
        </w:rPr>
        <w:t xml:space="preserve">a gentrificación nos arrincona en las ciudades de todo el mundo, caso paradigmático de esta época, que se han convertido en los centros neurálgicos de nuestro modelo de civilización. Será suficiente con recuperar un fragmento (cuya extensión el lector sabrá perdonar) del filme de Loius Malle, </w:t>
      </w:r>
      <w:proofErr w:type="spellStart"/>
      <w:r w:rsidRPr="00890575">
        <w:rPr>
          <w:rFonts w:ascii="Garamond" w:eastAsia="Garamond" w:hAnsi="Garamond" w:cs="Garamond"/>
          <w:i/>
          <w:iCs/>
          <w:sz w:val="23"/>
          <w:lang w:val="es-ES"/>
        </w:rPr>
        <w:t>My</w:t>
      </w:r>
      <w:proofErr w:type="spellEnd"/>
      <w:r w:rsidRPr="00890575">
        <w:rPr>
          <w:rFonts w:ascii="Garamond" w:eastAsia="Garamond" w:hAnsi="Garamond" w:cs="Garamond"/>
          <w:i/>
          <w:iCs/>
          <w:sz w:val="23"/>
          <w:lang w:val="es-ES"/>
        </w:rPr>
        <w:t xml:space="preserve"> Dinner </w:t>
      </w:r>
      <w:proofErr w:type="spellStart"/>
      <w:r w:rsidRPr="00890575">
        <w:rPr>
          <w:rFonts w:ascii="Garamond" w:eastAsia="Garamond" w:hAnsi="Garamond" w:cs="Garamond"/>
          <w:i/>
          <w:iCs/>
          <w:sz w:val="23"/>
          <w:lang w:val="es-ES"/>
        </w:rPr>
        <w:t>with</w:t>
      </w:r>
      <w:proofErr w:type="spellEnd"/>
      <w:r w:rsidRPr="00890575">
        <w:rPr>
          <w:rFonts w:ascii="Garamond" w:eastAsia="Garamond" w:hAnsi="Garamond" w:cs="Garamond"/>
          <w:i/>
          <w:iCs/>
          <w:sz w:val="23"/>
          <w:lang w:val="es-ES"/>
        </w:rPr>
        <w:t xml:space="preserve"> Andre</w:t>
      </w:r>
      <w:r w:rsidRPr="00890575">
        <w:rPr>
          <w:rFonts w:ascii="Garamond" w:eastAsia="Garamond" w:hAnsi="Garamond" w:cs="Garamond"/>
          <w:sz w:val="23"/>
          <w:lang w:val="es-ES"/>
        </w:rPr>
        <w:t xml:space="preserve"> (1981)</w:t>
      </w:r>
      <w:r w:rsidRPr="00890575">
        <w:rPr>
          <w:rStyle w:val="Refdenotaalpie"/>
          <w:rFonts w:ascii="Garamond" w:eastAsia="Garamond" w:hAnsi="Garamond" w:cs="Garamond"/>
          <w:sz w:val="23"/>
          <w:lang w:val="es-ES"/>
        </w:rPr>
        <w:footnoteReference w:id="1"/>
      </w:r>
      <w:r w:rsidRPr="00890575">
        <w:rPr>
          <w:rFonts w:ascii="Garamond" w:eastAsia="Garamond" w:hAnsi="Garamond" w:cs="Garamond"/>
          <w:sz w:val="23"/>
          <w:lang w:val="es-ES"/>
        </w:rPr>
        <w:t xml:space="preserve">, sobre el enclaustramiento en las ciudades contemporáneas:  </w:t>
      </w:r>
    </w:p>
    <w:p w14:paraId="2F36B52C" w14:textId="77777777" w:rsidR="00890575" w:rsidRPr="00890575" w:rsidRDefault="00890575" w:rsidP="00890575">
      <w:pPr>
        <w:pStyle w:val="AcademicBlockQuote"/>
        <w:keepLines/>
        <w:pBdr>
          <w:left w:val="single" w:sz="4" w:space="4" w:color="auto"/>
        </w:pBdr>
        <w:spacing w:after="180" w:line="276" w:lineRule="auto" w:before="100"/>
        <w:ind w:left="567" w:right="567" w:firstLine="0"/>
        <w:jc w:val="both"/>
        <w:rPr>
          <w:rFonts w:ascii="Bahnschrift Light SemiCondensed" w:eastAsia="Dotum" w:hAnsi="Bahnschrift Light SemiCondensed" w:cs="DokChampa"/>
          <w:lang w:val="en-GB"/>
        </w:rPr>
      </w:pPr>
      <w:r w:rsidRPr="00890575">
        <w:rPr>
          <w:rFonts w:ascii="Garamond" w:eastAsia="Garamond" w:hAnsi="Garamond" w:cs="Garamond"/>
          <w:sz w:val="21"/>
          <w:lang w:val="en-US"/>
        </w:rPr>
        <w:t>“</w:t>
      </w:r>
      <w:r w:rsidRPr="00890575">
        <w:rPr>
          <w:rFonts w:ascii="Garamond" w:eastAsia="Garamond" w:hAnsi="Garamond" w:cs="Garamond"/>
          <w:i/>
          <w:iCs/>
          <w:sz w:val="21"/>
          <w:lang w:val="en-US"/>
        </w:rPr>
        <w:t>I think that New York is the new model for the new concentration camp, where the camp has been built by the inmates themselves and the inmates are the guards, and they have this pride in this thing they've built, they've built their own prison, and so they exist in a state of schizophrenia where they are both guards and prisoners, and as a result they no longer have, having been lobotomized, the capacity to leave the prison they've made or to even see it as a prison”</w:t>
      </w:r>
      <w:r w:rsidRPr="00890575">
        <w:rPr>
          <w:rFonts w:ascii="Garamond" w:eastAsia="Garamond" w:hAnsi="Garamond" w:cs="Garamond"/>
          <w:sz w:val="21"/>
          <w:lang w:val="en-US"/>
        </w:rPr>
        <w:t xml:space="preserve">. </w:t>
      </w:r>
    </w:p>
    <w:p w14:paraId="5402210C" w14:textId="77777777" w:rsidR="00890575" w:rsidRP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En las urbes permanecemos dislocados, huérfanos del medio natural que nos dio forma. Ningún cuerpo perdona el frenetismo dopaminérgico de la modernidad, de ritmos desfasados y saturación perceptiva, ignorante de la armonía natural con la que se engranan todas las cosas limpias de un ecosistema virgen.</w:t>
      </w:r>
    </w:p>
    <w:p w14:paraId="19FA15A4" w14:textId="51CE08DD" w:rsid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 xml:space="preserve">En cambio, vivimos ajenos a nuestra herencia ancestral evolutiva, que todavía persiste, aunque intoxicada en las profundidades químicas de un aparato farmacoalimentario dedicado a la degradación de los organismos y la polidependencia a escala planetaria. Debemos experimentarnos en maniobras evasivas, tratando de esquivar constantemente mercadotecnias movedizas orientadas a seducir a todo sector de la población. De la infancia a la vejez, todos somos tan solo un </w:t>
      </w:r>
      <w:proofErr w:type="gramStart"/>
      <w:r w:rsidRPr="00890575">
        <w:rPr>
          <w:rFonts w:ascii="Garamond" w:eastAsia="Garamond" w:hAnsi="Garamond" w:cs="Garamond"/>
          <w:i/>
          <w:iCs/>
          <w:sz w:val="23"/>
          <w:lang w:val="es-ES"/>
        </w:rPr>
        <w:t>target</w:t>
      </w:r>
      <w:proofErr w:type="gramEnd"/>
      <w:r w:rsidRPr="00890575">
        <w:rPr>
          <w:rFonts w:ascii="Garamond" w:eastAsia="Garamond" w:hAnsi="Garamond" w:cs="Garamond"/>
          <w:sz w:val="23"/>
          <w:lang w:val="es-ES"/>
        </w:rPr>
        <w:t xml:space="preserve">. La diana de un cuerpo supermasivo, con el que interactuamos a diario, pero que no por ello nos resulta menos opaco. </w:t>
      </w:r>
    </w:p>
    <w:p w14:paraId="1B160AC0" w14:textId="77777777" w:rsid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 xml:space="preserve">Nuestro modelo de existencia se despliega ante nosotros como por arte de magia. Un espectáculo milagroso, desvinculado de las limitaciones de la materia, que se renueva eternamente para una masa dependiente y vulnerable, como lo es quien delega su autonomía y conocimiento del mundo en los demás. Los estantes de los supermercados se llenan de productos irreconocibles en la naturaleza. </w:t>
      </w:r>
    </w:p>
    <w:p w14:paraId="30F5C45C" w14:textId="77777777" w:rsid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Por nuestras manos pasan incontables artículos y artefactos de toda clase que distraen, como sonajeros, nuestra atención cada vez más dispersa. En pleno colapso de la biosfera, nos entregamos aún más a lo grotesco y acuñamos un nuevo término: "</w:t>
      </w:r>
      <w:r w:rsidRPr="00890575">
        <w:rPr>
          <w:rFonts w:ascii="Garamond" w:eastAsia="Garamond" w:hAnsi="Garamond" w:cs="Garamond"/>
          <w:i/>
          <w:iCs/>
          <w:sz w:val="23"/>
          <w:lang w:val="es-ES"/>
        </w:rPr>
        <w:t xml:space="preserve">ultra </w:t>
      </w:r>
      <w:proofErr w:type="spellStart"/>
      <w:r w:rsidRPr="00890575">
        <w:rPr>
          <w:rFonts w:ascii="Garamond" w:eastAsia="Garamond" w:hAnsi="Garamond" w:cs="Garamond"/>
          <w:i/>
          <w:iCs/>
          <w:sz w:val="23"/>
          <w:lang w:val="es-ES"/>
        </w:rPr>
        <w:t>fast</w:t>
      </w:r>
      <w:proofErr w:type="spellEnd"/>
      <w:r w:rsidRPr="00890575">
        <w:rPr>
          <w:rFonts w:ascii="Garamond" w:eastAsia="Garamond" w:hAnsi="Garamond" w:cs="Garamond"/>
          <w:i/>
          <w:iCs/>
          <w:sz w:val="23"/>
          <w:lang w:val="es-ES"/>
        </w:rPr>
        <w:t xml:space="preserve"> </w:t>
      </w:r>
      <w:proofErr w:type="spellStart"/>
      <w:r w:rsidRPr="00890575">
        <w:rPr>
          <w:rFonts w:ascii="Garamond" w:eastAsia="Garamond" w:hAnsi="Garamond" w:cs="Garamond"/>
          <w:i/>
          <w:iCs/>
          <w:sz w:val="23"/>
          <w:lang w:val="es-ES"/>
        </w:rPr>
        <w:t>fashion</w:t>
      </w:r>
      <w:proofErr w:type="spellEnd"/>
      <w:r w:rsidRPr="00890575">
        <w:rPr>
          <w:rFonts w:ascii="Garamond" w:eastAsia="Garamond" w:hAnsi="Garamond" w:cs="Garamond"/>
          <w:sz w:val="23"/>
          <w:lang w:val="es-ES"/>
        </w:rPr>
        <w:t xml:space="preserve">". Los precios irrisorios que ofrece esta facción, la más opaca en la industria textil, no hacen sino agudizar la compulsión consumista de Occidente. </w:t>
      </w:r>
    </w:p>
    <w:p w14:paraId="073C3008" w14:textId="77777777" w:rsid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lastRenderedPageBreak/>
        <w:t xml:space="preserve">Pero todos estos objetos carecen de valor individual. Tan solo evaluándolos en su conjunto, unidos en la corriente de las cosas, conseguimos averiguar su función auténtica: mantener la sensación de novedad, aquel efecto de fascinación que despierta la llegada (y solo la llegada) de lo último, lo actual, de una nueva solución definitiva a nuestra inquietud. No son objetos los que acumulamos, nuestro vínculo con ellos es en verdad fugaz: se limita a ese punto tangencial que nos une al flujo de las cosas, a esa ventana temporal en la que consumimos la experiencia de recibir lo nuevo que nos llega. </w:t>
      </w:r>
    </w:p>
    <w:p w14:paraId="2A1CE4FC" w14:textId="2B0B5D94" w:rsidR="00890575"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Lo que queda, que guardamos, son solo los restos de su aprovechamiento simbólico. Es la sedimentación del sustrato material, necesario únicamente para que pueda existir la experiencia atravesada, como las jeringuillas que se amontonan en una casa en ruinas. Tomando prestado el término de Morton, lo que se vende y se compra en realidad, es siempre el mismo hiperobjeto</w:t>
      </w:r>
      <w:r w:rsidRPr="00890575">
        <w:rPr>
          <w:rStyle w:val="Refdenotaalpie"/>
          <w:rFonts w:ascii="Garamond" w:eastAsia="Garamond" w:hAnsi="Garamond" w:cs="Garamond"/>
          <w:sz w:val="23"/>
          <w:lang w:val="es-ES"/>
        </w:rPr>
        <w:footnoteReference w:id="2"/>
      </w:r>
      <w:r w:rsidRPr="00890575">
        <w:rPr>
          <w:rFonts w:ascii="Garamond" w:eastAsia="Garamond" w:hAnsi="Garamond" w:cs="Garamond"/>
          <w:sz w:val="23"/>
          <w:lang w:val="es-ES"/>
        </w:rPr>
        <w:t xml:space="preserve">, experiencial y en movimiento, un flujo simbólico de fetiches, masivo en escala temporal y espacial. </w:t>
      </w:r>
    </w:p>
    <w:p w14:paraId="799EC653" w14:textId="77777777" w:rsidR="00533B6A"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 xml:space="preserve">Al final del ciclo de permanencia de esas cáscaras residuales, en una última maniobra de ilusionismo, las hacemos desaparecer en los contenedores de reciclaje. Estos son los últimos receptáculos encargados de sostener el vínculo ficticio que creemos compartir con la infraestructura del mercado global. Confiamos en el ideal de una supuesta red de gestión de residuos, que imaginamos sin fisuras, cuyo efecto simbólico blanquea y legitima la lógica del consumo. Un sistema reparado de pronto, convertido en inocuo con un simple gesto de preocupación ante el altar multicolor del reciclaje y la sostenibilidad. </w:t>
      </w:r>
    </w:p>
    <w:p w14:paraId="31895810" w14:textId="5B2B60AD" w:rsidR="00890575" w:rsidRPr="007D22CE" w:rsidRDefault="00890575" w:rsidP="00890575">
      <w:pPr>
        <w:pStyle w:val="AcademicBody"/>
        <w:spacing w:after="120" w:line="300" w:lineRule="auto" w:before="0"/>
        <w:ind w:left="0" w:right="0" w:firstLine="369"/>
        <w:jc w:val="both"/>
        <w:rPr>
          <w:rFonts w:ascii="Bahnschrift Light SemiCondensed" w:eastAsia="Dotum" w:hAnsi="Bahnschrift Light SemiCondensed" w:cs="DokChampa"/>
        </w:rPr>
      </w:pPr>
      <w:r w:rsidRPr="00890575">
        <w:rPr>
          <w:rFonts w:ascii="Garamond" w:eastAsia="Garamond" w:hAnsi="Garamond" w:cs="Garamond"/>
          <w:sz w:val="23"/>
          <w:lang w:val="es-ES"/>
        </w:rPr>
        <w:t>Cuando en realidad desconocemos enteramente qué pasa con nuestra basura, o cerca de quién termina agolpándose. Sirvan de ejemplo los hallazgos sobre la exportación sistémica de desechos a los vertederos globales, presentes principalmente en Asia, África y América Latina, que se practica en España</w:t>
      </w:r>
      <w:r w:rsidRPr="00890575">
        <w:rPr>
          <w:rStyle w:val="Refdenotaalpie"/>
          <w:rFonts w:ascii="Garamond" w:eastAsia="Garamond" w:hAnsi="Garamond" w:cs="Garamond"/>
          <w:sz w:val="23"/>
          <w:lang w:val="es-ES"/>
        </w:rPr>
        <w:footnoteReference w:id="3"/>
      </w:r>
      <w:r w:rsidRPr="00890575">
        <w:rPr>
          <w:rFonts w:ascii="Garamond" w:eastAsia="Garamond" w:hAnsi="Garamond" w:cs="Garamond"/>
          <w:sz w:val="23"/>
          <w:lang w:val="es-ES"/>
        </w:rPr>
        <w:t>. No sabemos nada acerca de la sociedad del consumo, de sus tácticas, su composición, mucho menos de sus entrañas. Está desterritorializada en una arquitectura inagotable de filiales y conglomerados, soportada sobre lejanas zonas de extracción y sacrificio. De estas, solo rescatamos los ecos en el telediario, como un extraño ritual expiatorio que consienta todo lo demás. Todo ello nos encierra en un infantilismo afortunado y culpable a partes iguales</w:t>
      </w:r>
    </w:p>
    <w:sectPr w:rsidR="009923DB">
      <w:headerReference w:type="default" r:id="rId9"/>
      <w:headerReference w:type="first" r:id="rId10"/>
      <w:footerReference w:type="default" r:id="rId11"/>
      <w:footerReference w:type="first" r:id="rId12"/>
      <w:pgSz w:w="11906" w:h="16838"/>
      <w:pgMar w:top="1417" w:right="1531" w:bottom="1417"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8B8B" w14:textId="77777777" w:rsidR="00FE6012" w:rsidRDefault="00FE6012" w:rsidP="00890575">
      <w:pPr>
        <w:spacing w:after="0" w:line="240" w:lineRule="auto"/>
      </w:pPr>
      <w:r>
        <w:separator/>
      </w:r>
    </w:p>
  </w:endnote>
  <w:endnote w:type="continuationSeparator" w:id="0">
    <w:p w14:paraId="6665575E" w14:textId="77777777" w:rsidR="00FE6012" w:rsidRDefault="00FE6012" w:rsidP="0089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kChampa">
    <w:charset w:val="DE"/>
    <w:family w:val="swiss"/>
    <w:pitch w:val="variable"/>
    <w:sig w:usb0="83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aramond" w:hAnsi="Garamond" w:eastAsia="Garamond" w:cs="Garamond"/>
        <w:sz w:val="18"/>
        <w:lang w:val="es-ES"/>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aramond" w:hAnsi="Garamond" w:eastAsia="Garamond" w:cs="Garamond"/>
        <w:sz w:val="18"/>
        <w:lang w:val="es-ES"/>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021C" w14:textId="77777777" w:rsidR="00FE6012" w:rsidRDefault="00FE6012" w:rsidP="00890575">
      <w:pPr>
        <w:spacing w:after="0" w:line="240" w:lineRule="auto"/>
      </w:pPr>
      <w:r>
        <w:separator/>
      </w:r>
    </w:p>
  </w:footnote>
  <w:footnote w:type="continuationSeparator" w:id="0">
    <w:p w14:paraId="54E3CB13" w14:textId="77777777" w:rsidR="00FE6012" w:rsidRDefault="00FE6012" w:rsidP="00890575">
      <w:pPr>
        <w:spacing w:after="0" w:line="240" w:lineRule="auto"/>
      </w:pPr>
      <w:r>
        <w:continuationSeparator/>
      </w:r>
    </w:p>
  </w:footnote>
  <w:footnote w:id="1">
    <w:p w14:paraId="7D042058" w14:textId="77777777" w:rsidR="00890575" w:rsidRDefault="00890575" w:rsidP="00890575">
      <w:pPr>
        <w:pStyle w:val="Textonotapie"/>
        <w:spacing w:before="0" w:after="0" w:line="240" w:lineRule="auto"/>
      </w:pPr>
      <w:r w:rsidRPr="007139BC">
        <w:rPr>
          <w:rStyle w:val="Refdenotaalpie"/>
          <w:rFonts w:ascii="Garamond" w:hAnsi="Garamond" w:eastAsia="Garamond" w:cs="Garamond"/>
          <w:sz w:val="18"/>
          <w:szCs w:val="18"/>
          <w:lang w:val="es-ES"/>
        </w:rPr>
        <w:footnoteRef/>
      </w:r>
      <w:r w:rsidRPr="007139BC">
        <w:rPr>
          <w:rFonts w:ascii="Garamond" w:hAnsi="Garamond" w:eastAsia="Garamond" w:cs="Garamond"/>
          <w:lang w:val="es-ES"/>
          <w:sz w:val="18"/>
          <w:szCs w:val="18"/>
        </w:rPr>
        <w:t xml:space="preserve"> Malle, Louis (1981). </w:t>
      </w:r>
      <w:r w:rsidRPr="007139BC">
        <w:rPr>
          <w:rFonts w:ascii="Garamond" w:hAnsi="Garamond" w:eastAsia="Garamond" w:cs="Garamond"/>
          <w:i/>
          <w:iCs/>
          <w:lang w:val="es-ES"/>
          <w:sz w:val="18"/>
          <w:szCs w:val="18"/>
        </w:rPr>
        <w:t>My Dinner with Andre</w:t>
      </w:r>
      <w:r w:rsidRPr="007139BC">
        <w:rPr>
          <w:rFonts w:ascii="Garamond" w:hAnsi="Garamond" w:eastAsia="Garamond" w:cs="Garamond"/>
          <w:lang w:val="es-ES"/>
          <w:sz w:val="18"/>
          <w:szCs w:val="18"/>
        </w:rPr>
        <w:t xml:space="preserve">. </w:t>
      </w:r>
      <w:r w:rsidRPr="007139BC">
        <w:rPr>
          <w:rFonts w:ascii="Garamond" w:hAnsi="Garamond" w:eastAsia="Garamond" w:cs="Garamond"/>
          <w:sz w:val="18"/>
          <w:szCs w:val="18"/>
          <w:lang w:val="es-ES"/>
        </w:rPr>
        <w:t>Estados Unidos: New Yorker Films.</w:t>
      </w:r>
    </w:p>
  </w:footnote>
  <w:footnote w:id="2">
    <w:p w14:paraId="2259DB90" w14:textId="77777777" w:rsidR="00890575" w:rsidRPr="007139BC" w:rsidRDefault="00890575" w:rsidP="00890575">
      <w:pPr>
        <w:pStyle w:val="Textonotapie"/>
        <w:rPr>
          <w:rFonts w:ascii="Bahnschrift Light SemiCondensed" w:hAnsi="Bahnschrift Light SemiCondensed"/>
        </w:rPr>
        <w:spacing w:before="0" w:after="0" w:line="240" w:lineRule="auto"/>
      </w:pPr>
      <w:r w:rsidRPr="007139BC">
        <w:rPr>
          <w:rStyle w:val="Refdenotaalpie"/>
          <w:rFonts w:ascii="Garamond" w:hAnsi="Garamond" w:eastAsia="Garamond" w:cs="Garamond"/>
          <w:sz w:val="18"/>
          <w:szCs w:val="18"/>
          <w:lang w:val="es-ES"/>
        </w:rPr>
        <w:footnoteRef/>
      </w:r>
      <w:r w:rsidRPr="007139BC">
        <w:rPr>
          <w:rFonts w:ascii="Garamond" w:hAnsi="Garamond" w:eastAsia="Garamond" w:cs="Garamond"/>
          <w:lang w:val="es-ES"/>
          <w:sz w:val="18"/>
          <w:szCs w:val="18"/>
        </w:rPr>
        <w:t xml:space="preserve"> Morton, T. (2013). </w:t>
      </w:r>
      <w:proofErr w:type="spellStart"/>
      <w:r w:rsidRPr="007139BC">
        <w:rPr>
          <w:rFonts w:ascii="Garamond" w:hAnsi="Garamond" w:eastAsia="Garamond" w:cs="Garamond"/>
          <w:i/>
          <w:iCs/>
          <w:lang w:val="es-ES"/>
          <w:sz w:val="18"/>
          <w:szCs w:val="18"/>
        </w:rPr>
        <w:t>Hyperobjects</w:t>
      </w:r>
      <w:proofErr w:type="spellEnd"/>
      <w:r w:rsidRPr="007139BC">
        <w:rPr>
          <w:rFonts w:ascii="Garamond" w:hAnsi="Garamond" w:eastAsia="Garamond" w:cs="Garamond"/>
          <w:i/>
          <w:iCs/>
          <w:lang w:val="es-ES"/>
          <w:sz w:val="18"/>
          <w:szCs w:val="18"/>
        </w:rPr>
        <w:t>: Philosophy and ecology after the end of the world</w:t>
      </w:r>
      <w:r w:rsidRPr="007139BC">
        <w:rPr>
          <w:rFonts w:ascii="Garamond" w:hAnsi="Garamond" w:eastAsia="Garamond" w:cs="Garamond"/>
          <w:lang w:val="es-ES"/>
          <w:sz w:val="18"/>
          <w:szCs w:val="18"/>
        </w:rPr>
        <w:t xml:space="preserve">. </w:t>
      </w:r>
      <w:proofErr w:type="spellStart"/>
      <w:r w:rsidRPr="007139BC">
        <w:rPr>
          <w:rFonts w:ascii="Garamond" w:hAnsi="Garamond" w:eastAsia="Garamond" w:cs="Garamond"/>
          <w:sz w:val="18"/>
          <w:szCs w:val="18"/>
          <w:lang w:val="es-ES"/>
        </w:rPr>
        <w:t>University</w:t>
      </w:r>
      <w:proofErr w:type="spellEnd"/>
      <w:r w:rsidRPr="007139BC">
        <w:rPr>
          <w:rFonts w:ascii="Garamond" w:hAnsi="Garamond" w:eastAsia="Garamond" w:cs="Garamond"/>
          <w:sz w:val="18"/>
          <w:szCs w:val="18"/>
          <w:lang w:val="es-ES"/>
        </w:rPr>
        <w:t xml:space="preserve"> </w:t>
      </w:r>
      <w:proofErr w:type="spellStart"/>
      <w:r w:rsidRPr="007139BC">
        <w:rPr>
          <w:rFonts w:ascii="Garamond" w:hAnsi="Garamond" w:eastAsia="Garamond" w:cs="Garamond"/>
          <w:sz w:val="18"/>
          <w:szCs w:val="18"/>
          <w:lang w:val="es-ES"/>
        </w:rPr>
        <w:t>of</w:t>
      </w:r>
      <w:proofErr w:type="spellEnd"/>
      <w:r w:rsidRPr="007139BC">
        <w:rPr>
          <w:rFonts w:ascii="Garamond" w:hAnsi="Garamond" w:eastAsia="Garamond" w:cs="Garamond"/>
          <w:sz w:val="18"/>
          <w:szCs w:val="18"/>
          <w:lang w:val="es-ES"/>
        </w:rPr>
        <w:t xml:space="preserve"> Minnesota Press.</w:t>
      </w:r>
    </w:p>
  </w:footnote>
  <w:footnote w:id="3">
    <w:p w14:paraId="6C48E612" w14:textId="77777777" w:rsidR="00890575" w:rsidRDefault="00890575" w:rsidP="00890575">
      <w:pPr>
        <w:pStyle w:val="Textonotapie"/>
        <w:spacing w:before="0" w:after="0" w:line="240" w:lineRule="auto"/>
      </w:pPr>
      <w:r w:rsidRPr="007139BC">
        <w:rPr>
          <w:rStyle w:val="Refdenotaalpie"/>
          <w:rFonts w:ascii="Garamond" w:hAnsi="Garamond" w:eastAsia="Garamond" w:cs="Garamond"/>
          <w:sz w:val="18"/>
          <w:szCs w:val="18"/>
          <w:lang w:val="es-ES"/>
        </w:rPr>
        <w:footnoteRef/>
      </w:r>
      <w:r w:rsidRPr="007139BC">
        <w:rPr>
          <w:rFonts w:ascii="Garamond" w:hAnsi="Garamond" w:eastAsia="Garamond" w:cs="Garamond"/>
          <w:sz w:val="18"/>
          <w:szCs w:val="18"/>
          <w:lang w:val="es-ES"/>
        </w:rPr>
        <w:t xml:space="preserve"> Greenpeace (2020). </w:t>
      </w:r>
      <w:r w:rsidRPr="007139BC">
        <w:rPr>
          <w:rFonts w:ascii="Garamond" w:hAnsi="Garamond" w:eastAsia="Garamond" w:cs="Garamond"/>
          <w:i/>
          <w:iCs/>
          <w:sz w:val="18"/>
          <w:szCs w:val="18"/>
          <w:lang w:val="es-ES"/>
        </w:rPr>
        <w:t>Ecoembes miente: el fracaso del modelo de gestión de residuos de envases domésticos</w:t>
      </w:r>
      <w:r w:rsidRPr="007139BC">
        <w:rPr>
          <w:rFonts w:ascii="Garamond" w:hAnsi="Garamond" w:eastAsia="Garamond" w:cs="Garamond"/>
          <w:sz w:val="18"/>
          <w:szCs w:val="18"/>
          <w:lang w:val="es-ES"/>
        </w:rPr>
        <w:t xml:space="preserve">. España: Greenpeace España. Disponible en: </w:t>
      </w:r>
      <w:hyperlink r:id="rId1" w:tgtFrame="_new" w:history="1">
        <w:r w:rsidRPr="007139BC">
          <w:rPr>
            <w:rStyle w:val="Hipervnculo"/>
            <w:rFonts w:ascii="Garamond" w:hAnsi="Garamond" w:eastAsia="Garamond" w:cs="Garamond"/>
            <w:sz w:val="18"/>
            <w:szCs w:val="18"/>
            <w:lang w:val="es-ES"/>
          </w:rPr>
          <w:t>https://es.greenpeace.org/es/wp-content/uploads/sites/3/2020/10/ecoembes-miente-informe.pdf</w:t>
        </w:r>
      </w:hyperlink>
      <w:r w:rsidRPr="007139BC">
        <w:rPr>
          <w:rFonts w:ascii="Garamond" w:hAnsi="Garamond" w:eastAsia="Garamond" w:cs="Garamond"/>
          <w:sz w:val="18"/>
          <w:szCs w:val="18"/>
          <w:lang w:val="es-ES"/>
        </w:rPr>
        <w: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844" w:val="right"/>
      </w:tabs>
      <w:spacing w:after="0"/>
      <w:jc w:val="left"/>
    </w:pPr>
    <w:r/>
    <w:r>
      <w:rPr>
        <w:rFonts w:ascii="Garamond" w:hAnsi="Garamond" w:eastAsia="Garamond" w:cs="Garamond"/>
        <w:smallCaps/>
        <w:sz w:val="17"/>
        <w:lang w:val="es-ES"/>
      </w:rPr>
      <w:t>CUERPOS Y MENTES EN LA CIUDAD DE LAS COSAS</w:t>
    </w:r>
    <w:r>
      <w:rPr>
        <w:rFonts w:ascii="Garamond" w:hAnsi="Garamond" w:eastAsia="Garamond" w:cs="Garamond"/>
        <w:sz w:val="17"/>
        <w:lang w:val="es-ES"/>
      </w:rPr>
      <w:tab/>
    </w:r>
    <w:r>
      <w:rPr>
        <w:rFonts w:ascii="Garamond" w:hAnsi="Garamond" w:eastAsia="Garamond" w:cs="Garamond"/>
        <w:smallCaps/>
        <w:sz w:val="17"/>
        <w:lang w:val="es-ES"/>
      </w:rPr>
      <w:t>Joan Carbonell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6BFA"/>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893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234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75"/>
    <w:rsid w:val="00533B6A"/>
    <w:rsid w:val="00890575"/>
    <w:rsid w:val="009923DB"/>
    <w:rsid w:val="00DA28B0"/>
    <w:rsid w:val="00E2062A"/>
    <w:rsid w:val="00FE60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2A90"/>
  <w15:chartTrackingRefBased/>
  <w15:docId w15:val="{69AD58CE-257A-4987-A5AD-E0E5978D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75"/>
    <w:pPr>
      <w:spacing w:line="300" w:lineRule="auto" w:after="120"/>
      <w:jc w:val="both"/>
    </w:pPr>
    <w:rPr>
      <w:rFonts w:ascii="Garamond" w:hAnsi="Garamond" w:eastAsia="Garamond" w:cs="Garamond"/>
      <w:sz w:val="23"/>
      <w:lang w:val="es-ES"/>
    </w:rPr>
  </w:style>
  <w:style w:type="paragraph" w:styleId="Ttulo1">
    <w:name w:val="heading 1"/>
    <w:basedOn w:val="Normal"/>
    <w:next w:val="Normal"/>
    <w:link w:val="Ttulo1Car"/>
    <w:uiPriority w:val="9"/>
    <w:qFormat/>
    <w:rsid w:val="0089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05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05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05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05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05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05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05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05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05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05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05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05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05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05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05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0575"/>
    <w:rPr>
      <w:rFonts w:eastAsiaTheme="majorEastAsia" w:cstheme="majorBidi"/>
      <w:color w:val="272727" w:themeColor="text1" w:themeTint="D8"/>
    </w:rPr>
  </w:style>
  <w:style w:type="paragraph" w:styleId="Ttulo">
    <w:name w:val="Title"/>
    <w:basedOn w:val="Normal"/>
    <w:next w:val="Normal"/>
    <w:link w:val="TtuloCar"/>
    <w:uiPriority w:val="10"/>
    <w:qFormat/>
    <w:rsid w:val="0089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05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05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05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0575"/>
    <w:pPr>
      <w:spacing w:before="160"/>
      <w:jc w:val="center"/>
    </w:pPr>
    <w:rPr>
      <w:i/>
      <w:iCs/>
      <w:color w:val="404040" w:themeColor="text1" w:themeTint="BF"/>
    </w:rPr>
  </w:style>
  <w:style w:type="character" w:customStyle="1" w:styleId="CitaCar">
    <w:name w:val="Cita Car"/>
    <w:basedOn w:val="Fuentedeprrafopredeter"/>
    <w:link w:val="Cita"/>
    <w:uiPriority w:val="29"/>
    <w:rsid w:val="00890575"/>
    <w:rPr>
      <w:i/>
      <w:iCs/>
      <w:color w:val="404040" w:themeColor="text1" w:themeTint="BF"/>
    </w:rPr>
  </w:style>
  <w:style w:type="paragraph" w:styleId="Prrafodelista">
    <w:name w:val="List Paragraph"/>
    <w:basedOn w:val="Normal"/>
    <w:uiPriority w:val="34"/>
    <w:qFormat/>
    <w:rsid w:val="00890575"/>
    <w:pPr>
      <w:ind w:left="720"/>
      <w:contextualSpacing/>
    </w:pPr>
  </w:style>
  <w:style w:type="character" w:styleId="nfasisintenso">
    <w:name w:val="Intense Emphasis"/>
    <w:basedOn w:val="Fuentedeprrafopredeter"/>
    <w:uiPriority w:val="21"/>
    <w:qFormat/>
    <w:rsid w:val="00890575"/>
    <w:rPr>
      <w:i/>
      <w:iCs/>
      <w:color w:val="0F4761" w:themeColor="accent1" w:themeShade="BF"/>
    </w:rPr>
  </w:style>
  <w:style w:type="paragraph" w:styleId="Citadestacada">
    <w:name w:val="Intense Quote"/>
    <w:basedOn w:val="Normal"/>
    <w:next w:val="Normal"/>
    <w:link w:val="CitadestacadaCar"/>
    <w:uiPriority w:val="30"/>
    <w:qFormat/>
    <w:rsid w:val="0089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0575"/>
    <w:rPr>
      <w:i/>
      <w:iCs/>
      <w:color w:val="0F4761" w:themeColor="accent1" w:themeShade="BF"/>
    </w:rPr>
  </w:style>
  <w:style w:type="character" w:styleId="Referenciaintensa">
    <w:name w:val="Intense Reference"/>
    <w:basedOn w:val="Fuentedeprrafopredeter"/>
    <w:uiPriority w:val="32"/>
    <w:qFormat/>
    <w:rsid w:val="00890575"/>
    <w:rPr>
      <w:b/>
      <w:bCs/>
      <w:smallCaps/>
      <w:color w:val="0F4761" w:themeColor="accent1" w:themeShade="BF"/>
      <w:spacing w:val="5"/>
    </w:rPr>
  </w:style>
  <w:style w:type="paragraph" w:styleId="Textonotapie">
    <w:name w:val="footnote text"/>
    <w:basedOn w:val="Normal"/>
    <w:link w:val="TextonotapieCar"/>
    <w:uiPriority w:val="99"/>
    <w:semiHidden/>
    <w:unhideWhenUsed/>
    <w:rsid w:val="0089057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90575"/>
    <w:rPr>
      <w:sz w:val="20"/>
      <w:szCs w:val="20"/>
    </w:rPr>
  </w:style>
  <w:style w:type="character" w:styleId="Refdenotaalpie">
    <w:name w:val="footnote reference"/>
    <w:basedOn w:val="Fuentedeprrafopredeter"/>
    <w:uiPriority w:val="99"/>
    <w:semiHidden/>
    <w:unhideWhenUsed/>
    <w:rsid w:val="00890575"/>
    <w:rPr>
      <w:vertAlign w:val="superscript"/>
    </w:rPr>
  </w:style>
  <w:style w:type="character" w:styleId="Hipervnculo">
    <w:name w:val="Hyperlink"/>
    <w:basedOn w:val="Fuentedeprrafopredeter"/>
    <w:uiPriority w:val="99"/>
    <w:unhideWhenUsed/>
    <w:rsid w:val="00890575"/>
    <w:rPr>
      <w:color w:val="467886" w:themeColor="hyperlink"/>
      <w:u w:val="single"/>
    </w:rPr>
  </w:style>
  <w:style w:type="paragraph" w:customStyle="1" w:styleId="AcademicBody">
    <w:name w:val="Academic Body"/>
    <w:basedOn w:val="Normal"/>
    <w:pPr>
      <w:spacing w:line="300" w:lineRule="auto" w:after="120"/>
      <w:ind w:firstLine="369"/>
      <w:jc w:val="both"/>
    </w:pPr>
    <w:rPr>
      <w:rFonts w:ascii="Garamond" w:hAnsi="Garamond" w:eastAsia="Garamond" w:cs="Garamond"/>
      <w:sz w:val="23"/>
      <w:lang w:val="es-ES"/>
    </w:rPr>
  </w:style>
  <w:style w:type="paragraph" w:customStyle="1" w:styleId="AcademicTitle">
    <w:name w:val="Academic Title"/>
    <w:basedOn w:val="Normal"/>
    <w:pPr>
      <w:keepNext/>
      <w:spacing w:before="240" w:after="100"/>
      <w:jc w:val="center"/>
    </w:pPr>
    <w:rPr>
      <w:rFonts w:ascii="Garamond" w:hAnsi="Garamond" w:eastAsia="Garamond" w:cs="Garamond"/>
      <w:b/>
      <w:sz w:val="40"/>
      <w:lang w:val="es-ES"/>
    </w:rPr>
  </w:style>
  <w:style w:type="paragraph" w:customStyle="1" w:styleId="AcademicAuthor">
    <w:name w:val="Academic Author"/>
    <w:basedOn w:val="Normal"/>
    <w:pPr>
      <w:keepNext/>
      <w:spacing w:after="480"/>
      <w:jc w:val="center"/>
    </w:pPr>
    <w:rPr>
      <w:rFonts w:ascii="Garamond" w:hAnsi="Garamond" w:eastAsia="Garamond" w:cs="Garamond"/>
      <w:sz w:val="21"/>
      <w:lang w:val="es-ES"/>
    </w:rPr>
  </w:style>
  <w:style w:type="paragraph" w:customStyle="1" w:styleId="AcademicBlockQuote">
    <w:name w:val="Academic Block Quote"/>
    <w:basedOn w:val="Normal"/>
    <w:pPr>
      <w:keepLines/>
      <w:spacing w:line="276" w:lineRule="auto" w:before="100" w:after="180"/>
      <w:ind w:left="567" w:right="567" w:firstLine="0"/>
      <w:jc w:val="both"/>
    </w:pPr>
    <w:rPr>
      <w:rFonts w:ascii="Garamond" w:hAnsi="Garamond" w:eastAsia="Garamond" w:cs="Garamond"/>
      <w:sz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es.greenpeace.org/es/wp-content/uploads/sites/3/2020/10/ecoembes-miente-informe.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776</Words>
  <Characters>4272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CUERPOS y MENTES en la CIUDAD de las COSAS</dc:title>
  <dc:subject>Ensayo sobre ciudad, consumo y cultura material</dc:subject>
  <dc:creator>Joan Carbonell</dc:creator>
  <cp:keywords>gentrificación; ciudad; consumo; cultura material; residuos; ecología</cp:keywords>
  <dc:description/>
  <cp:lastModifiedBy>Joan Carbonell</cp:lastModifiedBy>
  <cp:revision>2</cp:revision>
  <dcterms:created xsi:type="dcterms:W3CDTF">2026-08-02T13:26:00Z</dcterms:created>
  <dcterms:modified xsi:type="dcterms:W3CDTF">2026-08-02T13:37:00Z</dcterms:modified>
  <cp:category>Ensayo</cp:category>
  <dc:language>es-ES</dc:language>
  <cp:version>1.0</cp:version>
</cp:coreProperties>
</file>