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-138"/>
        <w:jc w:val="center"/>
        <w:spacing w:after="82"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МИНИСТЕРСТВО НАУКИ И ВЫСШЕГО ОБРАЗОВАНИЯ РФ</w:t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2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«Московский Авиационный Институт»</w:t>
      </w:r>
      <w:r/>
    </w:p>
    <w:p>
      <w:pPr>
        <w:ind w:left="25" w:right="2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(Национальный Исследовательский Университет)</w:t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/>
    </w:p>
    <w:p>
      <w:pPr>
        <w:ind w:left="87" w:firstLine="0"/>
        <w:jc w:val="center"/>
        <w:spacing w:after="38"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ind w:left="25" w:right="15"/>
        <w:jc w:val="center"/>
        <w:spacing w:line="264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прикладная математика»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 программирование»</w:t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8" w:right="17" w:hanging="11"/>
        <w:jc w:val="center"/>
        <w:spacing w:after="120"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/>
    </w:p>
    <w:p>
      <w:pPr>
        <w:ind w:left="2592" w:right="2570"/>
        <w:jc w:val="center"/>
        <w:spacing w:line="264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Лабораторная работа № 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br/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«Криптография»</w:t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91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30"/>
        </w:rPr>
      </w:pPr>
      <w:r>
        <w:rPr>
          <w:rFonts w:ascii="Times New Roman" w:hAnsi="Times New Roman" w:eastAsia="Times New Roman" w:cs="Times New Roman"/>
          <w:sz w:val="30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218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Группа: М8О-3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06Б-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21</w:t>
      </w:r>
      <w:r/>
    </w:p>
    <w:p>
      <w:pPr>
        <w:ind w:left="5529" w:firstLine="0"/>
        <w:jc w:val="left"/>
        <w:spacing w:after="189" w:line="256" w:lineRule="auto"/>
        <w:tabs>
          <w:tab w:val="center" w:pos="6273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(ка)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О. А. Мезенин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5529" w:firstLine="0"/>
        <w:jc w:val="left"/>
        <w:spacing w:after="189" w:line="256" w:lineRule="auto"/>
        <w:tabs>
          <w:tab w:val="center" w:pos="6649" w:leader="none"/>
          <w:tab w:val="right" w:pos="962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А. В. Борисов</w:t>
      </w:r>
      <w:r/>
    </w:p>
    <w:p>
      <w:pPr>
        <w:ind w:left="5529" w:firstLine="0"/>
        <w:jc w:val="left"/>
        <w:spacing w:after="183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Оценка:</w:t>
      </w:r>
      <w:r/>
    </w:p>
    <w:p>
      <w:pPr>
        <w:ind w:left="5529" w:right="302" w:firstLine="0"/>
        <w:jc w:val="left"/>
        <w:spacing w:after="59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Дата: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03.03.2024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79" w:firstLine="0"/>
        <w:jc w:val="center"/>
        <w:spacing w:after="120" w:line="257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28"/>
        <w:jc w:val="center"/>
        <w:spacing w:after="219" w:line="256" w:lineRule="auto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t xml:space="preserve">Москва, 202</w:t>
      </w:r>
      <w:r>
        <w:rPr>
          <w:rFonts w:ascii="Times New Roman" w:hAnsi="Times New Roman" w:eastAsia="Times New Roman" w:cs="Times New Roman"/>
          <w:sz w:val="24"/>
        </w:rPr>
        <w:t xml:space="preserve">4</w:t>
      </w:r>
      <w:r>
        <w:rPr>
          <w:rFonts w:ascii="Times New Roman" w:hAnsi="Times New Roman" w:eastAsia="Times New Roman" w:cs="Times New Roman"/>
          <w:sz w:val="24"/>
        </w:rPr>
        <w:br w:type="page" w:clear="all"/>
      </w:r>
      <w:r/>
    </w:p>
    <w:sdt>
      <w:sdtPr>
        <w15:appearance w15:val="boundingBox"/>
        <w:id w:val="-242958873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4"/>
          <w:szCs w:val="24"/>
          <w:lang w:val="ru-RU"/>
        </w:rPr>
      </w:sdtPr>
      <w:sdtContent>
        <w:p>
          <w:pPr>
            <w:pStyle w:val="84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 xml:space="preserve">О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 xml:space="preserve">ГЛАВЛЕНИЕ</w:t>
          </w:r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58983147" w:anchor="_Toc158983147" w:history="1">
            <w:r>
              <w:rPr>
                <w:rStyle w:val="839"/>
                <w:rFonts w:ascii="Times New Roman" w:hAnsi="Times New Roman" w:cs="Times New Roman"/>
              </w:rPr>
              <w:t xml:space="preserve">1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Т</w:t>
            </w:r>
            <w:r>
              <w:rPr>
                <w:rStyle w:val="839"/>
                <w:rFonts w:ascii="Times New Roman" w:hAnsi="Times New Roman" w:cs="Times New Roman"/>
              </w:rPr>
              <w:t xml:space="preserve">е</w:t>
            </w:r>
            <w:r>
              <w:rPr>
                <w:rStyle w:val="839"/>
                <w:rFonts w:ascii="Times New Roman" w:hAnsi="Times New Roman" w:cs="Times New Roman"/>
              </w:rPr>
              <w:t xml:space="preserve">м</w:t>
            </w:r>
            <w:r>
              <w:rPr>
                <w:rStyle w:val="839"/>
                <w:rFonts w:ascii="Times New Roman" w:hAnsi="Times New Roman" w:cs="Times New Roman"/>
              </w:rPr>
              <w:t xml:space="preserve">а</w:t>
            </w:r>
            <w:r>
              <w:tab/>
            </w:r>
            <w:r>
              <w:fldChar w:fldCharType="begin"/>
            </w:r>
            <w:r>
              <w:instrText xml:space="preserve"> PAGEREF _Toc158983147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48" w:anchor="_Toc158983148" w:history="1">
            <w:r>
              <w:rPr>
                <w:rStyle w:val="839"/>
                <w:rFonts w:ascii="Times New Roman" w:hAnsi="Times New Roman" w:cs="Times New Roman"/>
              </w:rPr>
              <w:t xml:space="preserve">2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_Toc158983148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49" w:anchor="_Toc158983149" w:history="1">
            <w:r>
              <w:rPr>
                <w:rStyle w:val="839"/>
                <w:rFonts w:ascii="Times New Roman" w:hAnsi="Times New Roman" w:cs="Times New Roman"/>
              </w:rPr>
              <w:t xml:space="preserve">3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Теория</w:t>
            </w:r>
            <w:r>
              <w:tab/>
            </w:r>
            <w:r>
              <w:fldChar w:fldCharType="begin"/>
            </w:r>
            <w:r>
              <w:instrText xml:space="preserve"> PAGEREF _Toc158983149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50" w:anchor="_Toc158983150" w:history="1">
            <w:r>
              <w:rPr>
                <w:rStyle w:val="839"/>
                <w:rFonts w:ascii="Times New Roman" w:hAnsi="Times New Roman" w:cs="Times New Roman"/>
              </w:rPr>
              <w:t xml:space="preserve">4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Ход лабораторной работы</w:t>
            </w:r>
            <w:r>
              <w:tab/>
            </w:r>
            <w:r>
              <w:fldChar w:fldCharType="begin"/>
            </w:r>
            <w:r>
              <w:instrText xml:space="preserve"> PAGEREF _Toc158983150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50"/>
            <w:tabs>
              <w:tab w:val="left" w:pos="480" w:leader="none"/>
              <w:tab w:val="right" w:pos="9350" w:leader="dot"/>
            </w:tabs>
            <w:rPr>
              <w:rFonts w:eastAsiaTheme="minorEastAsia"/>
              <w:lang w:val="ru-RU" w:eastAsia="ru-RU"/>
              <w14:ligatures w14:val="standardContextual"/>
            </w:rPr>
          </w:pPr>
          <w:r/>
          <w:hyperlink w:tooltip="#_Toc158983151" w:anchor="_Toc158983151" w:history="1">
            <w:r>
              <w:rPr>
                <w:rStyle w:val="839"/>
                <w:rFonts w:ascii="Times New Roman" w:hAnsi="Times New Roman" w:cs="Times New Roman"/>
              </w:rPr>
              <w:t xml:space="preserve">5</w:t>
            </w:r>
            <w:r>
              <w:rPr>
                <w:rFonts w:eastAsiaTheme="minorEastAsia"/>
                <w:lang w:val="ru-RU" w:eastAsia="ru-RU"/>
                <w14:ligatures w14:val="standardContextual"/>
              </w:rPr>
              <w:tab/>
            </w:r>
            <w:r>
              <w:rPr>
                <w:rStyle w:val="839"/>
                <w:rFonts w:ascii="Times New Roman" w:hAnsi="Times New Roman" w:cs="Times New Roman"/>
              </w:rPr>
              <w:t xml:space="preserve">Выводы</w:t>
            </w:r>
            <w:r>
              <w:tab/>
            </w:r>
            <w:r>
              <w:fldChar w:fldCharType="begin"/>
            </w:r>
            <w:r>
              <w:instrText xml:space="preserve"> PAGEREF _Toc158983151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50"/>
            <w:tabs>
              <w:tab w:val="right" w:pos="9350" w:leader="dot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/>
        </w:p>
      </w:sdtContent>
    </w:sdt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 w:clear="all"/>
      </w:r>
      <w:r/>
    </w:p>
    <w:p>
      <w:pPr>
        <w:pStyle w:val="831"/>
        <w:ind w:left="0"/>
        <w:rPr>
          <w:rFonts w:ascii="Times New Roman" w:hAnsi="Times New Roman" w:cs="Times New Roman"/>
          <w:b/>
          <w:bCs/>
        </w:rPr>
      </w:pPr>
      <w:r/>
      <w:bookmarkStart w:id="0" w:name="_Toc158983147"/>
      <w:r>
        <w:rPr>
          <w:rFonts w:ascii="Times New Roman" w:hAnsi="Times New Roman" w:cs="Times New Roman"/>
          <w:b/>
          <w:bCs/>
        </w:rPr>
        <w:t xml:space="preserve">Тема</w:t>
      </w:r>
      <w:bookmarkEnd w:id="0"/>
      <w:r>
        <w:rPr>
          <w:rFonts w:ascii="Times New Roman" w:hAnsi="Times New Roman" w:cs="Times New Roman"/>
          <w:b/>
          <w:bCs/>
        </w:rPr>
        <w:t xml:space="preserve"> </w:t>
      </w:r>
      <w:r/>
    </w:p>
    <w:p>
      <w:pPr>
        <w:pStyle w:val="837"/>
        <w:ind w:left="0" w:firstLine="709"/>
        <w:spacing w:before="120" w:after="120" w:line="247" w:lineRule="auto"/>
        <w:tabs>
          <w:tab w:val="left" w:pos="3362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OpenPGP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-ключи. Шифрование, дешифрование, подпись сертификатов</w:t>
      </w:r>
      <w:r>
        <w:t xml:space="preserve">.</w:t>
        <w:tab/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pStyle w:val="831"/>
        <w:rPr>
          <w:rFonts w:ascii="Times New Roman" w:hAnsi="Times New Roman" w:cs="Times New Roman"/>
          <w:b/>
          <w:bCs/>
        </w:rPr>
      </w:pPr>
      <w:r/>
      <w:bookmarkStart w:id="1" w:name="_Toc158983148"/>
      <w:r>
        <w:rPr>
          <w:rFonts w:ascii="Times New Roman" w:hAnsi="Times New Roman" w:cs="Times New Roman"/>
          <w:b/>
          <w:bCs/>
        </w:rPr>
        <w:t xml:space="preserve">Задание</w:t>
      </w:r>
      <w:bookmarkEnd w:id="1"/>
      <w:r>
        <w:rPr>
          <w:rFonts w:ascii="Times New Roman" w:hAnsi="Times New Roman" w:cs="Times New Roman"/>
          <w:b/>
          <w:bCs/>
        </w:rPr>
        <w:t xml:space="preserve"> </w:t>
      </w:r>
      <w:r/>
    </w:p>
    <w:p>
      <w:pPr>
        <w:pStyle w:val="837"/>
        <w:ind w:left="0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1. Создать пару OpenPGP-ключей, указав в сертификате свою почту. Создать её возможно, например, с помощью почтового клиента thunderbird, или из командной строки терминала ОС семейства linux, или иным способом.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0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2. Установить связь с преподавателем, используя созданный ключ, следующим образом: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20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2.1. Прислать собеседнику от своего имени по электронной почте сообщение, во вложении которого поместить свой сертификат открытого ключа.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2.2. Дождаться письма, в котором собеседник Вам пришлет сертификат своего открытого ключа.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2.3. Выслать сообщение, зашифрованное на открытом ключе собеседника.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2.4. Дождаться ответного письма.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2.5. Расшифровать ответное письмо своим закрытым ключом.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0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 Собрать подписи под своим сертификатом открытого ключа.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3.0. Получить сертификат открытого ключа одногруппника.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3.1. Убедиться в том, что подписываемый Вами сертификат ключа принадлежит его владельцу - путём сравнения отпечатка ключа или ключа целиком, по доверенным каналам связи.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3.2. Подписать сертификат открытого ключа одногруппника.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3.3. Передать подписанный Вами сертификат полученный в п.3.2 его владельцу, т.е. одногруппнику.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3.4. Повторив п.3.0.-3.3., собрать 10 подписей одногруппников под своим сертификатом.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709" w:firstLine="709"/>
        <w:jc w:val="both"/>
        <w:spacing w:before="120" w:after="120" w:line="247" w:lineRule="auto"/>
      </w:pPr>
      <w:r>
        <w:rPr>
          <w:rFonts w:ascii="Times New Roman" w:hAnsi="Times New Roman" w:cs="Times New Roman"/>
          <w:sz w:val="28"/>
          <w:szCs w:val="28"/>
        </w:rPr>
        <w:t xml:space="preserve">3.5. Прислать преподавателю свой сертификат открытого ключа, с 10-ю или более подписями одногруппников.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7"/>
        <w:ind w:left="0" w:firstLine="709"/>
        <w:jc w:val="both"/>
        <w:spacing w:before="120" w:after="120" w:line="247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4. Подписать сертификат открытого ключа преподавателя и выслать ему.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837"/>
        <w:ind w:left="0" w:firstLine="709"/>
        <w:spacing w:before="120" w:after="120" w:line="247" w:lineRule="auto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highlight w:val="non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2" w:name="_Toc158983149"/>
      <w:r>
        <w:rPr>
          <w:rFonts w:ascii="Times New Roman" w:hAnsi="Times New Roman" w:cs="Times New Roman"/>
          <w:b/>
          <w:bCs/>
        </w:rPr>
        <w:t xml:space="preserve">Теория</w:t>
      </w:r>
      <w:bookmarkEnd w:id="2"/>
      <w:r/>
      <w:r/>
    </w:p>
    <w:p>
      <w:pPr>
        <w:pStyle w:val="831"/>
        <w:numPr>
          <w:ilvl w:val="0"/>
          <w:numId w:val="0"/>
        </w:numPr>
        <w:ind w:left="10" w:firstLine="71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Для выполнения лабораторной работы потребовалось изучить работу инструмента GPG и его основные команды.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31"/>
        <w:numPr>
          <w:ilvl w:val="0"/>
          <w:numId w:val="0"/>
        </w:numPr>
        <w:ind w:left="10" w:firstLine="71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G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PG — это инструмент для шифрования и электронной подписи, который использует асимметричное шифрование с двумя ключами: приватным и публичным. Процесс работы GPG заключается в следующем: пользователь создаёт себе пару ключей. С помощью публичного ключа он ш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 xml:space="preserve">ифрует сообщение, а расшифровать его можно только с помощью соответствующего приватного ключа.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/>
    </w:p>
    <w:p>
      <w:pPr>
        <w:pStyle w:val="831"/>
        <w:numPr>
          <w:ilvl w:val="0"/>
          <w:numId w:val="0"/>
        </w:numPr>
        <w:ind w:left="10" w:firstLine="710"/>
        <w:jc w:val="both"/>
        <w:rPr>
          <w:rFonts w:ascii="Times New Roman" w:hAnsi="Times New Roman" w:cs="Times New Roman"/>
          <w:color w:val="auto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сертификатов в GPG нужна для верификации сообщений. Они применяются для того, чтобы удостовериться, что сообщение пришло от доверенного лица.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Open Sans" w:cs="Times New Roman"/>
          <w:color w:val="000000"/>
          <w:sz w:val="28"/>
          <w:szCs w:val="28"/>
          <w:highlight w:val="white"/>
        </w:rPr>
      </w: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3" w:name="_Toc158983150"/>
      <w:r>
        <w:rPr>
          <w:rFonts w:ascii="Times New Roman" w:hAnsi="Times New Roman" w:cs="Times New Roman"/>
          <w:b/>
          <w:bCs/>
        </w:rPr>
        <w:t xml:space="preserve">Ход</w:t>
      </w:r>
      <w:r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  <w:r/>
      <w:r/>
    </w:p>
    <w:p>
      <w:pPr>
        <w:ind w:left="0" w:firstLine="709"/>
        <w:spacing w:before="120" w:after="120" w:line="259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Лабораторная работа выполнялась в соответствии с планом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В ходе работы были применены следующие команды: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--full-generate-key — создать пару ключей;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--list-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keys — показать список ключей;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import key.asc — импортировать ключ;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export email — экспортировать ключ;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encrypt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recipient email message.txt — зашифровать сообщение message.txt с помощью открытого ключа;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d message.asc — расшифровать сообщение message.asc с помощью закрытого ключа;</w:t>
      </w:r>
      <w:r>
        <w:rPr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sign-key email — подписать сертификат;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list-sigs email — показать подписи ключа;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37"/>
        <w:numPr>
          <w:ilvl w:val="0"/>
          <w:numId w:val="11"/>
        </w:numPr>
        <w:spacing w:before="120" w:after="12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gpg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fingerprint email — показать отпечатки ключа.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подписей под моим сертификатом: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spacing w:after="160" w:line="259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4260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3259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1942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8.0pt;height:153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shd w:val="ni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Расшифровка сообщения преподавателя: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72888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4910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7288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pt;height:573.9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  <w:r/>
    </w:p>
    <w:p>
      <w:pPr>
        <w:pStyle w:val="831"/>
        <w:ind w:firstLine="0"/>
        <w:rPr>
          <w:rFonts w:ascii="Times New Roman" w:hAnsi="Times New Roman" w:cs="Times New Roman"/>
          <w:b/>
          <w:bCs/>
        </w:rPr>
      </w:pPr>
      <w:r/>
      <w:bookmarkStart w:id="4" w:name="_Toc158983151"/>
      <w:r>
        <w:rPr>
          <w:rFonts w:ascii="Times New Roman" w:hAnsi="Times New Roman" w:cs="Times New Roman"/>
          <w:b/>
          <w:bCs/>
        </w:rPr>
        <w:t xml:space="preserve">Вывод</w:t>
      </w:r>
      <w:r>
        <w:rPr>
          <w:rFonts w:ascii="Times New Roman" w:hAnsi="Times New Roman" w:cs="Times New Roman"/>
          <w:b/>
          <w:bCs/>
        </w:rPr>
        <w:t xml:space="preserve">ы</w:t>
      </w:r>
      <w:bookmarkEnd w:id="4"/>
      <w:r/>
      <w:r/>
    </w:p>
    <w:p>
      <w:pPr>
        <w:ind w:left="0" w:firstLine="709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ходе лабораторной работы ознакомился с работой асимметричного шифрования с помощью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инстру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мента GPG. Научился создавать открытые и закрытые ключи, зашифровывать и расшифровывать сообщения,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подписывать сертификаты. </w:t>
      </w:r>
      <w:r>
        <w:rPr>
          <w:rFonts w:ascii="Times New Roman" w:hAnsi="Times New Roman" w:cs="Times New Roman"/>
          <w:sz w:val="28"/>
          <w:szCs w:val="28"/>
          <w:highlight w:val="yellow"/>
        </w:rPr>
      </w:r>
      <w:r/>
    </w:p>
    <w:p>
      <w:pPr>
        <w:ind w:left="0" w:firstLine="0"/>
        <w:jc w:val="left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/>
    </w:p>
    <w:p>
      <w:pPr>
        <w:pStyle w:val="83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Список используемой литературы</w:t>
      </w:r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Сайт OpenPGP - https://www.openpgp.org/</w:t>
      </w:r>
      <w:r>
        <w:rPr>
          <w:highlight w:val="none"/>
        </w:rPr>
      </w:r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Документация GnuPG - </w:t>
      </w:r>
      <w:hyperlink r:id="rId12" w:tooltip="https://www.gnupg.org/" w:history="1"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  <w:t xml:space="preserve">https://www.gnupg.org/</w:t>
        </w:r>
        <w:r>
          <w:rPr>
            <w:rStyle w:val="839"/>
            <w:rFonts w:ascii="Times New Roman" w:hAnsi="Times New Roman" w:cs="Times New Roman"/>
            <w:sz w:val="28"/>
            <w:szCs w:val="28"/>
            <w:highlight w:val="none"/>
          </w:rPr>
        </w:r>
        <w:r>
          <w:rPr>
            <w:rStyle w:val="839"/>
          </w:rPr>
        </w:r>
      </w:hyperlink>
      <w:r/>
      <w:r/>
    </w:p>
    <w:p>
      <w:pPr>
        <w:pStyle w:val="837"/>
        <w:numPr>
          <w:ilvl w:val="0"/>
          <w:numId w:val="12"/>
        </w:numPr>
        <w:jc w:val="left"/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Liberation Sans" w:cs="Times New Roman"/>
          <w:b w:val="0"/>
          <w:bCs w:val="0"/>
          <w:color w:val="000000"/>
          <w:sz w:val="28"/>
          <w:szCs w:val="28"/>
        </w:rPr>
        <w:t xml:space="preserve">Асимметричная криптография для чайников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-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https://habr.com/ru/articles/748226/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14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6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8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0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2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4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6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8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06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  <w:sz w:val="28"/>
        <w:szCs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45" w:hanging="360"/>
      </w:pPr>
      <w:rPr>
        <w:rFonts w:hint="default"/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06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8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0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2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4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6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8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05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0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6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2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7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9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01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73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45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17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9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61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331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4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decimal"/>
      <w:pStyle w:val="831"/>
      <w:isLgl w:val="false"/>
      <w:suff w:val="tab"/>
      <w:lvlText w:val="%1"/>
      <w:lvlJc w:val="left"/>
      <w:pPr>
        <w:ind w:left="10" w:firstLine="0"/>
      </w:pPr>
      <w:rPr>
        <w:rFonts w:hint="default" w:ascii="Times New Roman" w:hAnsi="Times New Roman" w:eastAsia="Calibri" w:cs="Times New Roman"/>
        <w:b/>
        <w:bCs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1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19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26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35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07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479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551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230" w:firstLine="0"/>
      </w:pPr>
      <w:rPr>
        <w:rFonts w:ascii="Calibri" w:hAnsi="Calibri" w:eastAsia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3"/>
    <w:link w:val="831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3"/>
    <w:link w:val="832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3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3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3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3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3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0"/>
    <w:next w:val="830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3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0"/>
    <w:next w:val="830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3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0"/>
    <w:next w:val="830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3"/>
    <w:link w:val="677"/>
    <w:uiPriority w:val="10"/>
    <w:rPr>
      <w:sz w:val="48"/>
      <w:szCs w:val="48"/>
    </w:rPr>
  </w:style>
  <w:style w:type="paragraph" w:styleId="679">
    <w:name w:val="Subtitle"/>
    <w:basedOn w:val="830"/>
    <w:next w:val="830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3"/>
    <w:link w:val="679"/>
    <w:uiPriority w:val="11"/>
    <w:rPr>
      <w:sz w:val="24"/>
      <w:szCs w:val="24"/>
    </w:rPr>
  </w:style>
  <w:style w:type="paragraph" w:styleId="681">
    <w:name w:val="Quote"/>
    <w:basedOn w:val="830"/>
    <w:next w:val="830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0"/>
    <w:next w:val="830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0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3"/>
    <w:link w:val="685"/>
    <w:uiPriority w:val="99"/>
  </w:style>
  <w:style w:type="paragraph" w:styleId="687">
    <w:name w:val="Footer"/>
    <w:basedOn w:val="830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3"/>
    <w:link w:val="687"/>
    <w:uiPriority w:val="99"/>
  </w:style>
  <w:style w:type="paragraph" w:styleId="689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6">
    <w:name w:val="footnote text"/>
    <w:basedOn w:val="830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basedOn w:val="833"/>
    <w:uiPriority w:val="99"/>
    <w:unhideWhenUsed/>
    <w:rPr>
      <w:vertAlign w:val="superscript"/>
    </w:rPr>
  </w:style>
  <w:style w:type="paragraph" w:styleId="819">
    <w:name w:val="endnote text"/>
    <w:basedOn w:val="830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basedOn w:val="833"/>
    <w:uiPriority w:val="99"/>
    <w:semiHidden/>
    <w:unhideWhenUsed/>
    <w:rPr>
      <w:vertAlign w:val="superscript"/>
    </w:rPr>
  </w:style>
  <w:style w:type="paragraph" w:styleId="822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ind w:left="209" w:hanging="10"/>
      <w:jc w:val="both"/>
      <w:spacing w:after="10" w:line="268" w:lineRule="auto"/>
    </w:pPr>
    <w:rPr>
      <w:rFonts w:ascii="Calibri" w:hAnsi="Calibri" w:eastAsia="Calibri" w:cs="Calibri"/>
      <w:color w:val="000000"/>
      <w:sz w:val="20"/>
      <w:lang w:val="ru-RU" w:eastAsia="ru-RU"/>
    </w:rPr>
  </w:style>
  <w:style w:type="paragraph" w:styleId="831">
    <w:name w:val="Heading 1"/>
    <w:next w:val="830"/>
    <w:link w:val="836"/>
    <w:uiPriority w:val="9"/>
    <w:qFormat/>
    <w:pPr>
      <w:numPr>
        <w:numId w:val="1"/>
      </w:numPr>
      <w:ind w:hanging="10"/>
      <w:keepLines/>
      <w:keepNext/>
      <w:spacing w:after="140" w:line="264" w:lineRule="auto"/>
      <w:outlineLvl w:val="0"/>
    </w:pPr>
    <w:rPr>
      <w:rFonts w:ascii="Calibri" w:hAnsi="Calibri" w:eastAsia="Calibri" w:cs="Calibri"/>
      <w:color w:val="000000"/>
      <w:sz w:val="34"/>
      <w:lang w:val="ru-RU" w:eastAsia="ru-RU"/>
    </w:rPr>
  </w:style>
  <w:style w:type="paragraph" w:styleId="832">
    <w:name w:val="Heading 2"/>
    <w:basedOn w:val="830"/>
    <w:next w:val="830"/>
    <w:link w:val="838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character" w:styleId="836" w:customStyle="1">
    <w:name w:val="Заголовок 1 Знак"/>
    <w:basedOn w:val="833"/>
    <w:link w:val="831"/>
    <w:uiPriority w:val="9"/>
    <w:rPr>
      <w:rFonts w:ascii="Calibri" w:hAnsi="Calibri" w:eastAsia="Calibri" w:cs="Calibri"/>
      <w:color w:val="000000"/>
      <w:sz w:val="34"/>
      <w:lang w:val="ru-RU" w:eastAsia="ru-RU"/>
    </w:rPr>
  </w:style>
  <w:style w:type="paragraph" w:styleId="837">
    <w:name w:val="List Paragraph"/>
    <w:basedOn w:val="830"/>
    <w:uiPriority w:val="34"/>
    <w:qFormat/>
    <w:pPr>
      <w:contextualSpacing/>
      <w:ind w:left="720"/>
    </w:pPr>
  </w:style>
  <w:style w:type="character" w:styleId="838" w:customStyle="1">
    <w:name w:val="Заголовок 2 Знак"/>
    <w:basedOn w:val="833"/>
    <w:link w:val="832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ru-RU" w:eastAsia="ru-RU"/>
    </w:rPr>
  </w:style>
  <w:style w:type="character" w:styleId="839">
    <w:name w:val="Hyperlink"/>
    <w:basedOn w:val="833"/>
    <w:uiPriority w:val="99"/>
    <w:unhideWhenUsed/>
    <w:rPr>
      <w:color w:val="0563c1" w:themeColor="hyperlink"/>
      <w:u w:val="single"/>
    </w:rPr>
  </w:style>
  <w:style w:type="character" w:styleId="840">
    <w:name w:val="Unresolved Mention"/>
    <w:basedOn w:val="833"/>
    <w:uiPriority w:val="99"/>
    <w:semiHidden/>
    <w:unhideWhenUsed/>
    <w:rPr>
      <w:color w:val="605e5c"/>
      <w:shd w:val="clear" w:color="auto" w:fill="e1dfdd"/>
    </w:rPr>
  </w:style>
  <w:style w:type="character" w:styleId="841">
    <w:name w:val="FollowedHyperlink"/>
    <w:basedOn w:val="833"/>
    <w:uiPriority w:val="99"/>
    <w:semiHidden/>
    <w:unhideWhenUsed/>
    <w:rPr>
      <w:color w:val="954f72" w:themeColor="followedHyperlink"/>
      <w:u w:val="single"/>
    </w:rPr>
  </w:style>
  <w:style w:type="table" w:styleId="842">
    <w:name w:val="Table Grid"/>
    <w:basedOn w:val="83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3">
    <w:name w:val="Grid Table 4 Accent 1"/>
    <w:basedOn w:val="834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band1Horz">
      <w:tcPr>
        <w:shd w:val="clear" w:color="auto" w:fill="deeaf6" w:themeFill="accent1" w:themeFillTint="33"/>
      </w:tcPr>
    </w:tblStylePr>
    <w:tblStylePr w:type="band1Vert">
      <w:tcPr>
        <w:shd w:val="clear" w:color="auto" w:fill="deeaf6" w:themeFill="accent1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1" w:sz="4" w:space="0"/>
        </w:tcBorders>
      </w:tcPr>
    </w:tblStylePr>
  </w:style>
  <w:style w:type="table" w:styleId="844">
    <w:name w:val="Grid Table 3 Accent 5"/>
    <w:basedOn w:val="834"/>
    <w:uiPriority w:val="48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band1Horz">
      <w:tcPr>
        <w:shd w:val="clear" w:color="auto" w:fill="d9e2f3" w:themeFill="accent5" w:themeFillTint="33"/>
      </w:tcPr>
    </w:tblStylePr>
    <w:tblStylePr w:type="band1Vert">
      <w:tcPr>
        <w:shd w:val="clear" w:color="auto" w:fill="d9e2f3" w:themeFill="accent5" w:themeFillTint="33"/>
      </w:tcPr>
    </w:tblStylePr>
    <w:tblStylePr w:type="firstCol">
      <w:rPr>
        <w:i/>
        <w:iCs/>
      </w:rPr>
      <w:pPr>
        <w:jc w:val="right"/>
      </w:p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i/>
        <w:iCs/>
      </w:rPr>
      <w:tcPr>
        <w:shd w:val="clear" w:color="auto" w:fill="ffffff" w:themeFill="background1"/>
        <w:tcBorders>
          <w:top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</w:rPr>
      <w:tcPr>
        <w:shd w:val="clear" w:color="auto" w:fill="ffffff" w:themeFill="background1"/>
        <w:tcBorders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tcBorders>
          <w:bottom w:val="single" w:color="8EAADB" w:themeColor="accent5" w:themeTint="99" w:sz="4" w:space="0"/>
        </w:tcBorders>
      </w:tcPr>
    </w:tblStylePr>
    <w:tblStylePr w:type="neCell">
      <w:tcPr>
        <w:tcBorders>
          <w:bottom w:val="single" w:color="8EAADB" w:themeColor="accent5" w:themeTint="99" w:sz="4" w:space="0"/>
        </w:tcBorders>
      </w:tcPr>
    </w:tblStylePr>
    <w:tblStylePr w:type="swCell">
      <w:tcPr>
        <w:tcBorders>
          <w:top w:val="single" w:color="8EAADB" w:themeColor="accent5" w:themeTint="99" w:sz="4" w:space="0"/>
        </w:tcBorders>
      </w:tcPr>
    </w:tblStylePr>
    <w:tblStylePr w:type="seCell">
      <w:tcPr>
        <w:tcBorders>
          <w:top w:val="single" w:color="8EAADB" w:themeColor="accent5" w:themeTint="99" w:sz="4" w:space="0"/>
        </w:tcBorders>
      </w:tcPr>
    </w:tblStylePr>
  </w:style>
  <w:style w:type="table" w:styleId="845">
    <w:name w:val="Grid Table 5 Dark Accent 1"/>
    <w:basedOn w:val="834"/>
    <w:uiPriority w:val="5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band1Horz">
      <w:tcPr>
        <w:shd w:val="clear" w:color="auto" w:fill="bdd6ee" w:themeFill="accent1" w:themeFillTint="66"/>
      </w:tcPr>
    </w:tblStylePr>
    <w:tblStylePr w:type="band1Vert">
      <w:tcPr>
        <w:shd w:val="clear" w:color="auto" w:fill="bdd6ee" w:themeFill="accent1" w:themeFillTint="66"/>
      </w:tcPr>
    </w:tblStylePr>
    <w:tblStylePr w:type="fir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5b9bd5" w:themeFill="accent1"/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b9bd5" w:themeFill="accent1"/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6">
    <w:name w:val="HTML Preformatted"/>
    <w:basedOn w:val="830"/>
    <w:link w:val="847"/>
    <w:uiPriority w:val="99"/>
    <w:unhideWhenUsed/>
    <w:pPr>
      <w:ind w:left="0" w:firstLine="0"/>
      <w:jc w:val="left"/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color w:val="auto"/>
      <w:szCs w:val="20"/>
      <w:lang w:val="en-US" w:eastAsia="en-US"/>
    </w:rPr>
  </w:style>
  <w:style w:type="character" w:styleId="847" w:customStyle="1">
    <w:name w:val="Стандартный HTML Знак"/>
    <w:basedOn w:val="833"/>
    <w:link w:val="846"/>
    <w:uiPriority w:val="99"/>
    <w:rPr>
      <w:rFonts w:ascii="Courier New" w:hAnsi="Courier New" w:eastAsia="Times New Roman" w:cs="Courier New"/>
      <w:sz w:val="20"/>
      <w:szCs w:val="20"/>
    </w:rPr>
  </w:style>
  <w:style w:type="character" w:styleId="848">
    <w:name w:val="Placeholder Text"/>
    <w:basedOn w:val="833"/>
    <w:uiPriority w:val="99"/>
    <w:semiHidden/>
    <w:rPr>
      <w:color w:val="808080"/>
    </w:rPr>
  </w:style>
  <w:style w:type="paragraph" w:styleId="849">
    <w:name w:val="TOC Heading"/>
    <w:basedOn w:val="831"/>
    <w:next w:val="852"/>
    <w:uiPriority w:val="39"/>
    <w:unhideWhenUsed/>
    <w:qFormat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 w:eastAsia="en-US"/>
    </w:rPr>
  </w:style>
  <w:style w:type="paragraph" w:styleId="850">
    <w:name w:val="toc 1"/>
    <w:basedOn w:val="830"/>
    <w:next w:val="830"/>
    <w:uiPriority w:val="39"/>
    <w:unhideWhenUsed/>
    <w:pPr>
      <w:ind w:left="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1">
    <w:name w:val="toc 2"/>
    <w:basedOn w:val="830"/>
    <w:next w:val="830"/>
    <w:uiPriority w:val="39"/>
    <w:unhideWhenUsed/>
    <w:pPr>
      <w:ind w:left="240" w:firstLine="0"/>
      <w:jc w:val="left"/>
      <w:spacing w:after="100" w:line="240" w:lineRule="auto"/>
    </w:pPr>
    <w:rPr>
      <w:rFonts w:asciiTheme="minorHAnsi" w:hAnsiTheme="minorHAnsi" w:eastAsiaTheme="minorHAnsi" w:cstheme="minorBidi"/>
      <w:color w:val="auto"/>
      <w:sz w:val="24"/>
      <w:szCs w:val="24"/>
      <w:lang w:val="en-US" w:eastAsia="en-US"/>
    </w:rPr>
  </w:style>
  <w:style w:type="paragraph" w:styleId="852">
    <w:name w:val="Body Text"/>
    <w:basedOn w:val="830"/>
    <w:link w:val="853"/>
    <w:uiPriority w:val="99"/>
    <w:semiHidden/>
    <w:unhideWhenUsed/>
    <w:pPr>
      <w:spacing w:after="120"/>
    </w:pPr>
  </w:style>
  <w:style w:type="character" w:styleId="853" w:customStyle="1">
    <w:name w:val="Основной текст Знак"/>
    <w:basedOn w:val="833"/>
    <w:link w:val="852"/>
    <w:uiPriority w:val="99"/>
    <w:semiHidden/>
    <w:rPr>
      <w:rFonts w:ascii="Calibri" w:hAnsi="Calibri" w:eastAsia="Calibri" w:cs="Calibri"/>
      <w:color w:val="000000"/>
      <w:sz w:val="20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gnupg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revision>89</cp:revision>
  <dcterms:created xsi:type="dcterms:W3CDTF">2023-03-06T18:11:00Z</dcterms:created>
  <dcterms:modified xsi:type="dcterms:W3CDTF">2024-03-09T18:04:47Z</dcterms:modified>
</cp:coreProperties>
</file>