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BE6C" w14:textId="77777777" w:rsidR="00081712" w:rsidRDefault="00000000">
      <w:pPr>
        <w:spacing w:after="40"/>
        <w:jc w:val="center"/>
      </w:pPr>
      <w:r>
        <w:rPr>
          <w:rFonts w:ascii="Aptos Display" w:hAnsi="Aptos Display"/>
          <w:b/>
          <w:color w:val="1F4E79"/>
          <w:sz w:val="44"/>
        </w:rPr>
        <w:t>Retail Category Intelligence</w:t>
      </w:r>
    </w:p>
    <w:p w14:paraId="701DE387" w14:textId="77777777" w:rsidR="00531863" w:rsidRDefault="00531863">
      <w:pPr>
        <w:spacing w:after="160"/>
        <w:rPr>
          <w:color w:val="595959"/>
        </w:rPr>
      </w:pPr>
    </w:p>
    <w:p w14:paraId="27BB78AE" w14:textId="522BA9CC" w:rsidR="00081712" w:rsidRDefault="00000000">
      <w:pPr>
        <w:spacing w:after="160"/>
      </w:pPr>
      <w:r>
        <w:rPr>
          <w:b/>
        </w:rPr>
        <w:t>This analysis covers 107,836 transactions across 12 stores, 5 product categories, and 25 products.</w:t>
      </w:r>
    </w:p>
    <w:p w14:paraId="5E1161D5" w14:textId="77777777" w:rsidR="00081712" w:rsidRDefault="00000000">
      <w:pPr>
        <w:spacing w:before="40" w:after="80"/>
      </w:pPr>
      <w:r>
        <w:rPr>
          <w:b/>
          <w:color w:val="1F4E79"/>
          <w:sz w:val="28"/>
        </w:rPr>
        <w:t>Three Key Findings</w:t>
      </w:r>
    </w:p>
    <w:tbl>
      <w:tblPr>
        <w:tblW w:w="0" w:type="auto"/>
        <w:tblLook w:val="04A0" w:firstRow="1" w:lastRow="0" w:firstColumn="1" w:lastColumn="0" w:noHBand="0" w:noVBand="1"/>
      </w:tblPr>
      <w:tblGrid>
        <w:gridCol w:w="10080"/>
      </w:tblGrid>
      <w:tr w:rsidR="00081712" w14:paraId="1412BD8F" w14:textId="77777777" w:rsidTr="00531863">
        <w:tc>
          <w:tcPr>
            <w:tcW w:w="10080" w:type="dxa"/>
          </w:tcPr>
          <w:p w14:paraId="5BE3122D" w14:textId="77777777" w:rsidR="00081712" w:rsidRDefault="00000000">
            <w:pPr>
              <w:spacing w:after="40"/>
            </w:pPr>
            <w:r>
              <w:rPr>
                <w:b/>
                <w:color w:val="1F4E79"/>
              </w:rPr>
              <w:t>1. Category direction</w:t>
            </w:r>
          </w:p>
          <w:p w14:paraId="313D3478" w14:textId="77777777" w:rsidR="00081712" w:rsidRDefault="00000000">
            <w:pPr>
              <w:spacing w:after="60"/>
            </w:pPr>
            <w:r>
              <w:t>Electronics recorded the largest fall, dropping from about ₹4.57 crore in January to ₹2.97 crore in June (-35.0%). Apparel showed the strongest growth (+34.1%), while Grocery was the most consistent category.</w:t>
            </w:r>
          </w:p>
        </w:tc>
      </w:tr>
      <w:tr w:rsidR="00081712" w14:paraId="1B4BCDEC" w14:textId="77777777" w:rsidTr="00531863">
        <w:tc>
          <w:tcPr>
            <w:tcW w:w="10080" w:type="dxa"/>
          </w:tcPr>
          <w:p w14:paraId="2DFEC1E2" w14:textId="77777777" w:rsidR="00081712" w:rsidRDefault="00000000">
            <w:pPr>
              <w:spacing w:after="40"/>
            </w:pPr>
            <w:r>
              <w:rPr>
                <w:b/>
                <w:color w:val="1F4E79"/>
              </w:rPr>
              <w:t>2. Product contribution</w:t>
            </w:r>
          </w:p>
          <w:p w14:paraId="2160D804" w14:textId="77777777" w:rsidR="00081712" w:rsidRDefault="00000000">
            <w:pPr>
              <w:spacing w:after="60"/>
            </w:pPr>
            <w:r>
              <w:t>Inside Electronics, Headphones and Laptop were the top two products by six-month revenue. Smart TV and Tablet were the bottom two; Smart TV generated about ₹4.19 crore. The category review should therefore separate stronger products from weaker ones.</w:t>
            </w:r>
          </w:p>
        </w:tc>
      </w:tr>
      <w:tr w:rsidR="00081712" w14:paraId="14719C95" w14:textId="77777777" w:rsidTr="00531863">
        <w:tc>
          <w:tcPr>
            <w:tcW w:w="10080" w:type="dxa"/>
          </w:tcPr>
          <w:p w14:paraId="4627A09D" w14:textId="77777777" w:rsidR="00081712" w:rsidRDefault="00000000">
            <w:pPr>
              <w:spacing w:after="40"/>
            </w:pPr>
            <w:r>
              <w:rPr>
                <w:b/>
                <w:color w:val="1F4E79"/>
              </w:rPr>
              <w:t>3. Discounts and timing</w:t>
            </w:r>
          </w:p>
          <w:p w14:paraId="7949849E" w14:textId="77777777" w:rsidR="00081712" w:rsidRDefault="00000000">
            <w:pPr>
              <w:spacing w:after="60"/>
            </w:pPr>
            <w:r>
              <w:t>Average revenue per transaction fell from about ₹4,686 at 0% discount to ₹3,632 at 20%, while average units sold stayed close to 2.6. Higher discounts are not producing a meaningful volume increase. Saturday was the strongest sales day and Monday the weakest.</w:t>
            </w:r>
          </w:p>
        </w:tc>
      </w:tr>
    </w:tbl>
    <w:p w14:paraId="6590CB48" w14:textId="77777777" w:rsidR="00081712" w:rsidRDefault="00000000">
      <w:pPr>
        <w:spacing w:before="160" w:after="60"/>
      </w:pPr>
      <w:r>
        <w:rPr>
          <w:b/>
          <w:color w:val="1F4E79"/>
          <w:sz w:val="28"/>
        </w:rPr>
        <w:t>Recommendation</w:t>
      </w:r>
    </w:p>
    <w:p w14:paraId="7ED36A1C" w14:textId="77777777" w:rsidR="00081712" w:rsidRDefault="00000000">
      <w:r>
        <w:t>Apparel has the strongest case for increased investment because its revenue trend is improving. Electronics should be reviewed more closely, especially Smart TV and Tablet. Before approving additional shelf space or promotions, the Category Manager should ask for a clear recovery plan and avoid increasing discounts without evidence that customers will buy more units.</w:t>
      </w:r>
    </w:p>
    <w:p w14:paraId="0F9AB607" w14:textId="77777777" w:rsidR="00081712" w:rsidRDefault="00000000">
      <w:pPr>
        <w:spacing w:before="100" w:after="60"/>
      </w:pPr>
      <w:r>
        <w:rPr>
          <w:b/>
          <w:color w:val="1F4E79"/>
          <w:sz w:val="28"/>
        </w:rPr>
        <w:t>Limitation</w:t>
      </w:r>
    </w:p>
    <w:p w14:paraId="3D45D5C7" w14:textId="77777777" w:rsidR="00081712" w:rsidRDefault="00000000">
      <w:r>
        <w:t>The dataset does not contain supplier identifiers or product-level gross margin. It can show which products need attention, but it cannot assign responsibility to a specific supplier or confirm whether a high-revenue product is also profitable.</w:t>
      </w:r>
    </w:p>
    <w:sectPr w:rsidR="0008171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86E0" w14:textId="77777777" w:rsidR="007A56E8" w:rsidRDefault="007A56E8">
      <w:pPr>
        <w:spacing w:after="0" w:line="240" w:lineRule="auto"/>
      </w:pPr>
      <w:r>
        <w:separator/>
      </w:r>
    </w:p>
  </w:endnote>
  <w:endnote w:type="continuationSeparator" w:id="0">
    <w:p w14:paraId="7662BBEE" w14:textId="77777777" w:rsidR="007A56E8" w:rsidRDefault="007A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DDDD" w14:textId="77777777" w:rsidR="00081712" w:rsidRDefault="00000000">
    <w:pPr>
      <w:pStyle w:val="Footer"/>
    </w:pPr>
    <w:r>
      <w:rPr>
        <w:color w:val="6E6E6E"/>
        <w:sz w:val="18"/>
      </w:rPr>
      <w:t>MUC01 - Category Intelligence</w:t>
    </w:r>
  </w:p>
  <w:p w14:paraId="7A151C1B" w14:textId="77777777" w:rsidR="00081712" w:rsidRDefault="00000000">
    <w:pPr>
      <w:jc w:val="right"/>
    </w:pPr>
    <w:r>
      <w:rPr>
        <w:sz w:val="18"/>
      </w:rPr>
      <w:t xml:space="preserve">Page </w:t>
    </w:r>
    <w:r>
      <w:rPr>
        <w:sz w:val="18"/>
      </w:rPr>
      <w:fldChar w:fldCharType="begin"/>
    </w:r>
    <w:r>
      <w:rPr>
        <w:sz w:val="18"/>
      </w:rPr>
      <w:instrText>PAGE</w:instrText>
    </w:r>
    <w:r w:rsidR="00531863">
      <w:rPr>
        <w:sz w:val="18"/>
      </w:rPr>
      <w:fldChar w:fldCharType="separate"/>
    </w:r>
    <w:r w:rsidR="0053186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85E8" w14:textId="77777777" w:rsidR="007A56E8" w:rsidRDefault="007A56E8">
      <w:pPr>
        <w:spacing w:after="0" w:line="240" w:lineRule="auto"/>
      </w:pPr>
      <w:r>
        <w:separator/>
      </w:r>
    </w:p>
  </w:footnote>
  <w:footnote w:type="continuationSeparator" w:id="0">
    <w:p w14:paraId="50355974" w14:textId="77777777" w:rsidR="007A56E8" w:rsidRDefault="007A5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19921">
    <w:abstractNumId w:val="8"/>
  </w:num>
  <w:num w:numId="2" w16cid:durableId="1344429349">
    <w:abstractNumId w:val="6"/>
  </w:num>
  <w:num w:numId="3" w16cid:durableId="882449122">
    <w:abstractNumId w:val="5"/>
  </w:num>
  <w:num w:numId="4" w16cid:durableId="436098949">
    <w:abstractNumId w:val="4"/>
  </w:num>
  <w:num w:numId="5" w16cid:durableId="1735348365">
    <w:abstractNumId w:val="7"/>
  </w:num>
  <w:num w:numId="6" w16cid:durableId="209339647">
    <w:abstractNumId w:val="3"/>
  </w:num>
  <w:num w:numId="7" w16cid:durableId="1248996574">
    <w:abstractNumId w:val="2"/>
  </w:num>
  <w:num w:numId="8" w16cid:durableId="1300309392">
    <w:abstractNumId w:val="1"/>
  </w:num>
  <w:num w:numId="9" w16cid:durableId="88140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12"/>
    <w:rsid w:val="0015074B"/>
    <w:rsid w:val="0029639D"/>
    <w:rsid w:val="00326F90"/>
    <w:rsid w:val="00531863"/>
    <w:rsid w:val="007A56E8"/>
    <w:rsid w:val="00AA1D8D"/>
    <w:rsid w:val="00B47730"/>
    <w:rsid w:val="00CB0664"/>
    <w:rsid w:val="00F55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59812"/>
  <w14:defaultImageDpi w14:val="300"/>
  <w15:docId w15:val="{E9D2C8AB-C63A-4BE2-A1BA-561C7B6E2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P</cp:lastModifiedBy>
  <cp:revision>2</cp:revision>
  <dcterms:created xsi:type="dcterms:W3CDTF">2013-12-23T23:15:00Z</dcterms:created>
  <dcterms:modified xsi:type="dcterms:W3CDTF">2026-09-18T11:18:00Z</dcterms:modified>
  <cp:category/>
</cp:coreProperties>
</file>