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pPr>
      <w:r>
        <w:rPr>
          <w:b/>
          <w:bCs/>
          <w:color w:val="2B5BE3"/>
          <w:sz w:val="76"/>
          <w:szCs w:val="76"/>
        </w:rPr>
        <w:t xml:space="preserve">ELYON</w:t>
      </w:r>
    </w:p>
    <w:p>
      <w:pPr>
        <w:spacing w:after="40"/>
      </w:pPr>
      <w:r>
        <w:rPr>
          <w:b/>
          <w:bCs/>
          <w:color w:val="18191D"/>
          <w:sz w:val="36"/>
          <w:szCs w:val="36"/>
        </w:rPr>
        <w:t xml:space="preserve">Seu Head de Growth com IA</w:t>
      </w:r>
    </w:p>
    <w:p>
      <w:pPr>
        <w:pBdr>
          <w:bottom w:val="single" w:color="2B5BE3" w:sz="18" w:space="8"/>
        </w:pBdr>
        <w:spacing w:after="360"/>
      </w:pPr>
      <w:r>
        <w:rPr>
          <w:i/>
          <w:iCs/>
          <w:color w:val="565862"/>
          <w:sz w:val="24"/>
          <w:szCs w:val="24"/>
        </w:rPr>
        <w:t xml:space="preserve">Inteligência de marketing que transforma dados em decisão — e budget em resultado.</w:t>
      </w:r>
    </w:p>
    <w:p>
      <w:pPr>
        <w:spacing w:after="40" w:line="276"/>
      </w:pPr>
      <w:r>
        <w:rPr>
          <w:color w:val="565862"/>
          <w:sz w:val="22"/>
          <w:szCs w:val="22"/>
        </w:rPr>
        <w:t xml:space="preserve">Dossiê de produto e guia de vendas</w:t>
      </w:r>
    </w:p>
    <w:p>
      <w:pPr>
        <w:spacing w:after="600" w:line="276"/>
      </w:pPr>
      <w:r>
        <w:rPr>
          <w:color w:val="565862"/>
          <w:sz w:val="22"/>
          <w:szCs w:val="22"/>
        </w:rPr>
        <w:t xml:space="preserve">Como apresentar a Elyon e converter assinaturas — donos de negócio, agências e gestores de tráfego.</w:t>
      </w:r>
    </w:p>
    <w:tbl>
      <w:tblPr>
        <w:tblW w:type="dxa" w:w="9360"/>
        <w:tblBorders>
          <w:top w:val="single" w:color="EBF0FE" w:sz="1"/>
          <w:left w:val="single" w:color="2B5BE3" w:sz="24"/>
          <w:bottom w:val="single" w:color="EBF0FE" w:sz="1"/>
          <w:right w:val="single" w:color="EBF0FE" w:sz="1"/>
          <w:insideH w:val="single" w:color="auto" w:sz="4"/>
          <w:insideV w:val="single" w:color="auto" w:sz="4"/>
        </w:tblBorders>
      </w:tblPr>
      <w:tblGrid>
        <w:gridCol w:w="9360"/>
      </w:tblGrid>
      <w:tr>
        <w:tc>
          <w:tcPr>
            <w:tcW w:type="dxa" w:w="9360"/>
            <w:shd w:fill="EBF0FE" w:val="clear"/>
            <w:tcMar>
              <w:top w:type="dxa" w:w="140"/>
              <w:left w:type="dxa" w:w="200"/>
              <w:bottom w:type="dxa" w:w="140"/>
              <w:right w:type="dxa" w:w="180"/>
            </w:tcMar>
          </w:tcPr>
          <w:p>
            <w:pPr>
              <w:spacing w:after="0" w:line="276"/>
            </w:pPr>
            <w:r>
              <w:rPr>
                <w:b/>
                <w:bCs/>
                <w:color w:val="1E47C4"/>
              </w:rPr>
              <w:t xml:space="preserve">Em uma frase: </w:t>
            </w:r>
            <w:r>
              <w:rPr>
                <w:color w:val="18191D"/>
              </w:rPr>
              <w:t xml:space="preserve">a Elyon conecta as contas de anúncios, diagnostica o funil e devolve uma decisão pronta — com benchmarks reais do nicho — em cerca de 2 minutos, sem reunião e sem consultor caro.</w:t>
            </w:r>
          </w:p>
        </w:tc>
      </w:tr>
    </w:tbl>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 que é a Elyon</w:t>
      </w:r>
    </w:p>
    <w:p>
      <w:pPr>
        <w:spacing w:after="140" w:line="276"/>
      </w:pPr>
      <w:r>
        <w:t xml:space="preserve">A Elyon é uma plataforma de inteligência de marketing com IA que funciona como um Head de Growth especializado no nicho de cada cliente — disponível 24 horas, sem reunião e sem o custo de uma contratação sênior.</w:t>
      </w:r>
    </w:p>
    <w:p>
      <w:pPr>
        <w:spacing w:after="140" w:line="276"/>
      </w:pPr>
      <w:r>
        <w:t xml:space="preserve">Diferente de uma ferramenta que só mostra números, a Elyon conecta as contas de Meta Ads e Google Ads, diagnostica o funil de ponta a ponta, compara o desempenho com benchmarks reais do segmento no mercado brasileiro e devolve uma decisão pronta para executar: o que escalar, o que cortar e o que testar.</w:t>
      </w:r>
    </w:p>
    <w:p>
      <w:pPr>
        <w:spacing w:after="160" w:line="276"/>
      </w:pPr>
      <w:r>
        <w:t xml:space="preserve">O princípio que sustenta todo o produto é simples: substituir o achismo por dado real do segmento. Não é uma média genérica de internet — são CPL, ROAS, CVR, ticket médio e sazonalidade de mais de 80 nichos, atualizados mensalmente.</w:t>
      </w:r>
    </w:p>
    <w:tbl>
      <w:tblPr>
        <w:tblW w:type="dxa" w:w="9360"/>
        <w:tblBorders>
          <w:top w:val="single" w:color="E3F6EE" w:sz="1"/>
          <w:left w:val="single" w:color="0E9E6E" w:sz="24"/>
          <w:bottom w:val="single" w:color="E3F6EE" w:sz="1"/>
          <w:right w:val="single" w:color="E3F6EE" w:sz="1"/>
          <w:insideH w:val="single" w:color="auto" w:sz="4"/>
          <w:insideV w:val="single" w:color="auto" w:sz="4"/>
        </w:tblBorders>
      </w:tblPr>
      <w:tblGrid>
        <w:gridCol w:w="9360"/>
      </w:tblGrid>
      <w:tr>
        <w:tc>
          <w:tcPr>
            <w:tcW w:type="dxa" w:w="9360"/>
            <w:shd w:fill="E3F6EE" w:val="clear"/>
            <w:tcMar>
              <w:top w:type="dxa" w:w="140"/>
              <w:left w:type="dxa" w:w="200"/>
              <w:bottom w:type="dxa" w:w="140"/>
              <w:right w:type="dxa" w:w="180"/>
            </w:tcMar>
          </w:tcPr>
          <w:p>
            <w:pPr>
              <w:spacing w:after="0" w:line="276"/>
            </w:pPr>
            <w:r>
              <w:rPr>
                <w:b/>
                <w:bCs/>
                <w:color w:val="0E9E6E"/>
              </w:rPr>
              <w:t xml:space="preserve">A promessa central: </w:t>
            </w:r>
            <w:r>
              <w:rPr>
                <w:color w:val="18191D"/>
              </w:rPr>
              <w:t xml:space="preserve">tirar uma decisão estratégica do zero em cerca de 2 minutos — o que antes levava 2 horas de planilha ou uma consultoria cara.</w:t>
            </w:r>
          </w:p>
        </w:tc>
      </w:tr>
    </w:tbl>
    <w:p>
      <w:pPr>
        <w:pStyle w:val="Heading1"/>
      </w:pPr>
      <w:r>
        <w:t xml:space="preserve">2. O problema que a Elyon resolve</w:t>
      </w:r>
    </w:p>
    <w:p>
      <w:pPr>
        <w:spacing w:after="160" w:line="276"/>
      </w:pPr>
      <w:r>
        <w:t xml:space="preserve">Quem investe em tráfego pago vive três versões da mesma dor — falta de clareza sobre o que o dado está dizendo e o que fazer com ele. A Elyon foi desenhada para atacar as três ao mesmo tempo:</w:t>
      </w:r>
    </w:p>
    <w:tbl>
      <w:tblPr>
        <w:tblW w:type="dxa" w:w="9360"/>
        <w:tblBorders>
          <w:top w:val="single" w:color="E6E5E0" w:sz="1"/>
          <w:left w:val="single" w:color="E6E5E0" w:sz="1"/>
          <w:bottom w:val="single" w:color="E6E5E0" w:sz="1"/>
          <w:right w:val="single" w:color="E6E5E0" w:sz="1"/>
          <w:insideH w:val="single" w:color="E6E5E0" w:sz="1"/>
          <w:insideV w:val="single" w:color="E6E5E0" w:sz="1"/>
        </w:tblBorders>
      </w:tblPr>
      <w:tblGrid>
        <w:gridCol w:w="2600"/>
        <w:gridCol w:w="6760"/>
      </w:tblGrid>
      <w:tr>
        <w:trPr>
          <w:tblHeader/>
        </w:trPr>
        <w:tc>
          <w:tcPr>
            <w:tcW w:type="dxa" w:w="2600"/>
            <w:shd w:fill="18191D" w:val="clear"/>
            <w:tcMar>
              <w:top w:type="dxa" w:w="90"/>
              <w:left w:type="dxa" w:w="130"/>
              <w:bottom w:type="dxa" w:w="90"/>
              <w:right w:type="dxa" w:w="130"/>
            </w:tcMar>
            <w:vAlign w:val="center"/>
          </w:tcPr>
          <w:p>
            <w:pPr>
              <w:spacing w:after="0" w:line="264"/>
            </w:pPr>
            <w:r>
              <w:rPr>
                <w:b/>
                <w:bCs/>
                <w:color w:val="FFFFFF"/>
                <w:sz w:val="20"/>
                <w:szCs w:val="20"/>
              </w:rPr>
              <w:t xml:space="preserve">Perfil</w:t>
            </w:r>
          </w:p>
        </w:tc>
        <w:tc>
          <w:tcPr>
            <w:tcW w:type="dxa" w:w="6760"/>
            <w:shd w:fill="18191D" w:val="clear"/>
            <w:tcMar>
              <w:top w:type="dxa" w:w="90"/>
              <w:left w:type="dxa" w:w="130"/>
              <w:bottom w:type="dxa" w:w="90"/>
              <w:right w:type="dxa" w:w="130"/>
            </w:tcMar>
            <w:vAlign w:val="center"/>
          </w:tcPr>
          <w:p>
            <w:pPr>
              <w:spacing w:after="0" w:line="264"/>
            </w:pPr>
            <w:r>
              <w:rPr>
                <w:b/>
                <w:bCs/>
                <w:color w:val="FFFFFF"/>
                <w:sz w:val="20"/>
                <w:szCs w:val="20"/>
              </w:rPr>
              <w:t xml:space="preserve">A dor real</w:t>
            </w:r>
          </w:p>
        </w:tc>
      </w:tr>
      <w:tr>
        <w:tc>
          <w:tcPr>
            <w:tcW w:type="dxa" w:w="2600"/>
            <w:shd w:fill="EBF0FE" w:val="clear"/>
            <w:tcMar>
              <w:top w:type="dxa" w:w="90"/>
              <w:left w:type="dxa" w:w="130"/>
              <w:bottom w:type="dxa" w:w="90"/>
              <w:right w:type="dxa" w:w="130"/>
            </w:tcMar>
            <w:vAlign w:val="center"/>
          </w:tcPr>
          <w:p>
            <w:pPr>
              <w:spacing w:after="0" w:line="264"/>
            </w:pPr>
            <w:r>
              <w:rPr>
                <w:b/>
                <w:bCs/>
                <w:color w:val="1E47C4"/>
                <w:sz w:val="20"/>
                <w:szCs w:val="20"/>
              </w:rPr>
              <w:t xml:space="preserve">Dono de negócio</w:t>
            </w:r>
          </w:p>
        </w:tc>
        <w:tc>
          <w:tcPr>
            <w:tcW w:type="dxa" w:w="6760"/>
            <w:tcMar>
              <w:top w:type="dxa" w:w="90"/>
              <w:left w:type="dxa" w:w="130"/>
              <w:bottom w:type="dxa" w:w="90"/>
              <w:right w:type="dxa" w:w="130"/>
            </w:tcMar>
            <w:vAlign w:val="center"/>
          </w:tcPr>
          <w:p>
            <w:pPr>
              <w:spacing w:after="0" w:line="264"/>
            </w:pPr>
            <w:r>
              <w:rPr>
                <w:sz w:val="20"/>
                <w:szCs w:val="20"/>
              </w:rPr>
              <w:t xml:space="preserve">Investe em anúncios mas não sabe para onde o dinheiro vai, nem se o resultado é bom ou ruim. Depende de terceiros sem conseguir cobrar.</w:t>
            </w:r>
          </w:p>
        </w:tc>
      </w:tr>
      <w:tr>
        <w:tc>
          <w:tcPr>
            <w:tcW w:type="dxa" w:w="2600"/>
            <w:shd w:fill="EBF0FE" w:val="clear"/>
            <w:tcMar>
              <w:top w:type="dxa" w:w="90"/>
              <w:left w:type="dxa" w:w="130"/>
              <w:bottom w:type="dxa" w:w="90"/>
              <w:right w:type="dxa" w:w="130"/>
            </w:tcMar>
            <w:vAlign w:val="center"/>
          </w:tcPr>
          <w:p>
            <w:pPr>
              <w:spacing w:after="0" w:line="264"/>
            </w:pPr>
            <w:r>
              <w:rPr>
                <w:b/>
                <w:bCs/>
                <w:color w:val="1E47C4"/>
                <w:sz w:val="20"/>
                <w:szCs w:val="20"/>
              </w:rPr>
              <w:t xml:space="preserve">Gestor de tráfego</w:t>
            </w:r>
          </w:p>
        </w:tc>
        <w:tc>
          <w:tcPr>
            <w:tcW w:type="dxa" w:w="6760"/>
            <w:tcMar>
              <w:top w:type="dxa" w:w="90"/>
              <w:left w:type="dxa" w:w="130"/>
              <w:bottom w:type="dxa" w:w="90"/>
              <w:right w:type="dxa" w:w="130"/>
            </w:tcMar>
            <w:vAlign w:val="center"/>
          </w:tcPr>
          <w:p>
            <w:pPr>
              <w:spacing w:after="0" w:line="264"/>
            </w:pPr>
            <w:r>
              <w:rPr>
                <w:sz w:val="20"/>
                <w:szCs w:val="20"/>
              </w:rPr>
              <w:t xml:space="preserve">Perde horas montando planilha e relatório por cliente. Falta um benchmark confiável para defender as decisões e provar valor.</w:t>
            </w:r>
          </w:p>
        </w:tc>
      </w:tr>
      <w:tr>
        <w:tc>
          <w:tcPr>
            <w:tcW w:type="dxa" w:w="2600"/>
            <w:shd w:fill="EBF0FE" w:val="clear"/>
            <w:tcMar>
              <w:top w:type="dxa" w:w="90"/>
              <w:left w:type="dxa" w:w="130"/>
              <w:bottom w:type="dxa" w:w="90"/>
              <w:right w:type="dxa" w:w="130"/>
            </w:tcMar>
            <w:vAlign w:val="center"/>
          </w:tcPr>
          <w:p>
            <w:pPr>
              <w:spacing w:after="0" w:line="264"/>
            </w:pPr>
            <w:r>
              <w:rPr>
                <w:b/>
                <w:bCs/>
                <w:color w:val="1E47C4"/>
                <w:sz w:val="20"/>
                <w:szCs w:val="20"/>
              </w:rPr>
              <w:t xml:space="preserve">Agência</w:t>
            </w:r>
          </w:p>
        </w:tc>
        <w:tc>
          <w:tcPr>
            <w:tcW w:type="dxa" w:w="6760"/>
            <w:tcMar>
              <w:top w:type="dxa" w:w="90"/>
              <w:left w:type="dxa" w:w="130"/>
              <w:bottom w:type="dxa" w:w="90"/>
              <w:right w:type="dxa" w:w="130"/>
            </w:tcMar>
            <w:vAlign w:val="center"/>
          </w:tcPr>
          <w:p>
            <w:pPr>
              <w:spacing w:after="0" w:line="264"/>
            </w:pPr>
            <w:r>
              <w:rPr>
                <w:sz w:val="20"/>
                <w:szCs w:val="20"/>
              </w:rPr>
              <w:t xml:space="preserve">Precisa de padrão e velocidade para escalar o atendimento de muitos clientes sem derrubar a qualidade nem inflar o time.</w:t>
            </w:r>
          </w:p>
        </w:tc>
      </w:tr>
    </w:tbl>
    <w:p>
      <w:pPr>
        <w:spacing w:after="120"/>
      </w:pPr>
      <w:r>
        <w:t xml:space="preserve"/>
      </w:r>
    </w:p>
    <w:p>
      <w:pPr>
        <w:spacing w:after="120" w:line="276"/>
      </w:pPr>
      <w:r>
        <w:t xml:space="preserve">O objetivo da Elyon é entregar a cada um desses perfis a mesma coisa: direção baseada em dados reais, na hora, sem depender de achismo, planilha ou agenda de consultor.</w:t>
      </w:r>
    </w:p>
    <w:p>
      <w:r>
        <w:br w:type="page"/>
      </w:r>
    </w:p>
    <w:p>
      <w:pPr>
        <w:pStyle w:val="Heading1"/>
      </w:pPr>
      <w:r>
        <w:t xml:space="preserve">3. Funcionalidades — o que a Elyon faz</w:t>
      </w:r>
    </w:p>
    <w:p>
      <w:pPr>
        <w:spacing w:after="160" w:line="276"/>
      </w:pPr>
      <w:r>
        <w:t xml:space="preserve">A plataforma reúne, em um único lugar, toda a cadeia de inteligência de marketing: diagnosticar, decidir, executar e aprender. Os principais módulos são:</w:t>
      </w:r>
    </w:p>
    <w:p>
      <w:pPr>
        <w:pStyle w:val="Heading2"/>
      </w:pPr>
      <w:r>
        <w:t xml:space="preserve">NOUS — o analista de IA contextual</w:t>
      </w:r>
    </w:p>
    <w:p>
      <w:pPr>
        <w:spacing w:after="100" w:line="276"/>
      </w:pPr>
      <w:r>
        <w:t xml:space="preserve">É o coração da Elyon. Um chat inteligente que conhece o cliente, o nicho, o budget e o histórico de campanhas. Não dá respostas genéricas — responde com os dados reais do negócio.</w:t>
      </w:r>
    </w:p>
    <w:p>
      <w:pPr>
        <w:pStyle w:val="ListParagraph"/>
        <w:numPr>
          <w:ilvl w:val="0"/>
          <w:numId w:val="2"/>
        </w:numPr>
        <w:spacing w:after="60" w:line="270"/>
      </w:pPr>
      <w:r>
        <w:t xml:space="preserve">Pergunta: “Meu CPL está em R$82, está bom para odontologia?” Resposta: compara com o benchmark real do nicho, projeta os leads para o budget atual e recomenda a ação.</w:t>
      </w:r>
    </w:p>
    <w:p>
      <w:pPr>
        <w:pStyle w:val="ListParagraph"/>
        <w:numPr>
          <w:ilvl w:val="0"/>
          <w:numId w:val="2"/>
        </w:numPr>
        <w:spacing w:after="60" w:line="270"/>
      </w:pPr>
      <w:r>
        <w:t xml:space="preserve">Lê o histórico de campanhas anteriores para contextualizar cada recomendação.</w:t>
      </w:r>
    </w:p>
    <w:p>
      <w:pPr>
        <w:pStyle w:val="ListParagraph"/>
        <w:numPr>
          <w:ilvl w:val="0"/>
          <w:numId w:val="2"/>
        </w:numPr>
        <w:spacing w:after="60" w:line="270"/>
      </w:pPr>
      <w:r>
        <w:t xml:space="preserve">Recomendações acionáveis (“pause o Google Display, escale o Meta em 20%”), não teoria.</w:t>
      </w:r>
    </w:p>
    <w:p>
      <w:pPr>
        <w:pStyle w:val="ListParagraph"/>
        <w:numPr>
          <w:ilvl w:val="0"/>
          <w:numId w:val="2"/>
        </w:numPr>
        <w:spacing w:after="60" w:line="270"/>
      </w:pPr>
      <w:r>
        <w:t xml:space="preserve">Disponível 24h — sem agendar reunião.</w:t>
      </w:r>
    </w:p>
    <w:p>
      <w:pPr>
        <w:pStyle w:val="Heading2"/>
      </w:pPr>
      <w:r>
        <w:t xml:space="preserve">Diagnóstico de funil (TOFU / MOFU / BOFU)</w:t>
      </w:r>
    </w:p>
    <w:p>
      <w:pPr>
        <w:spacing w:after="100" w:line="276"/>
      </w:pPr>
      <w:r>
        <w:t xml:space="preserve">Identifica exatamente onde está o gargalo — topo, meio ou fundo de funil — com dados reais do nicho, não um framework genérico de consultoria.</w:t>
      </w:r>
    </w:p>
    <w:p>
      <w:pPr>
        <w:pStyle w:val="ListParagraph"/>
        <w:numPr>
          <w:ilvl w:val="0"/>
          <w:numId w:val="2"/>
        </w:numPr>
        <w:spacing w:after="60" w:line="270"/>
      </w:pPr>
      <w:r>
        <w:t xml:space="preserve">Mapeia a jornada TOFU → MOFU → BOFU com números reais (impressões, cliques, leads, CVR).</w:t>
      </w:r>
    </w:p>
    <w:p>
      <w:pPr>
        <w:pStyle w:val="ListParagraph"/>
        <w:numPr>
          <w:ilvl w:val="0"/>
          <w:numId w:val="2"/>
        </w:numPr>
        <w:spacing w:after="60" w:line="270"/>
      </w:pPr>
      <w:r>
        <w:t xml:space="preserve">Aponta onde o budget está sendo desperdiçado e a ação prioritária.</w:t>
      </w:r>
    </w:p>
    <w:p>
      <w:pPr>
        <w:pStyle w:val="ListParagraph"/>
        <w:numPr>
          <w:ilvl w:val="0"/>
          <w:numId w:val="2"/>
        </w:numPr>
        <w:spacing w:after="60" w:line="270"/>
      </w:pPr>
      <w:r>
        <w:t xml:space="preserve">Estima o potencial de receita de cada correção (ex.: “+R$40 mil/mês melhorando o follow-up”).</w:t>
      </w:r>
    </w:p>
    <w:p>
      <w:pPr>
        <w:pStyle w:val="Heading2"/>
      </w:pPr>
      <w:r>
        <w:t xml:space="preserve">Mercado — benchmarks por nicho</w:t>
      </w:r>
    </w:p>
    <w:p>
      <w:pPr>
        <w:spacing w:after="100" w:line="276"/>
      </w:pPr>
      <w:r>
        <w:t xml:space="preserve">A base de dados que diferencia a Elyon de tudo no mercado: indicadores reais por segmento, do mercado brasileiro, atualizados mensalmente.</w:t>
      </w:r>
    </w:p>
    <w:p>
      <w:pPr>
        <w:pStyle w:val="ListParagraph"/>
        <w:numPr>
          <w:ilvl w:val="0"/>
          <w:numId w:val="2"/>
        </w:numPr>
        <w:spacing w:after="60" w:line="270"/>
      </w:pPr>
      <w:r>
        <w:t xml:space="preserve">CPL, ROAS, CVR e ticket médio de mais de 80 nichos.</w:t>
      </w:r>
    </w:p>
    <w:p>
      <w:pPr>
        <w:pStyle w:val="ListParagraph"/>
        <w:numPr>
          <w:ilvl w:val="0"/>
          <w:numId w:val="2"/>
        </w:numPr>
        <w:spacing w:after="60" w:line="270"/>
      </w:pPr>
      <w:r>
        <w:t xml:space="preserve">Janelas de sazonalidade e pico mapeadas — quando aumentar o budget.</w:t>
      </w:r>
    </w:p>
    <w:p>
      <w:pPr>
        <w:pStyle w:val="ListParagraph"/>
        <w:numPr>
          <w:ilvl w:val="0"/>
          <w:numId w:val="2"/>
        </w:numPr>
        <w:spacing w:after="60" w:line="270"/>
      </w:pPr>
      <w:r>
        <w:t xml:space="preserve">Canais ideais por segmento e budget mínimo para gerar dados válidos.</w:t>
      </w:r>
    </w:p>
    <w:p>
      <w:pPr>
        <w:pStyle w:val="Heading2"/>
      </w:pPr>
      <w:r>
        <w:t xml:space="preserve">Plano de Ação</w:t>
      </w:r>
    </w:p>
    <w:p>
      <w:pPr>
        <w:spacing w:after="120" w:line="276"/>
      </w:pPr>
      <w:r>
        <w:t xml:space="preserve">Um plano de 90 dias pronto para executar, com metas de leads e de receita, organizado por etapa do funil.</w:t>
      </w:r>
    </w:p>
    <w:p>
      <w:pPr>
        <w:pStyle w:val="Heading2"/>
      </w:pPr>
      <w:r>
        <w:t xml:space="preserve">Desempenho e Financeiro</w:t>
      </w:r>
    </w:p>
    <w:p>
      <w:pPr>
        <w:pStyle w:val="ListParagraph"/>
        <w:numPr>
          <w:ilvl w:val="0"/>
          <w:numId w:val="2"/>
        </w:numPr>
        <w:spacing w:after="60" w:line="270"/>
      </w:pPr>
      <w:r>
        <w:t xml:space="preserve">Acompanhamento das métricas reais das campanhas conectadas, com comparação entre períodos e exportação em CSV.</w:t>
      </w:r>
    </w:p>
    <w:p>
      <w:pPr>
        <w:pStyle w:val="ListParagraph"/>
        <w:numPr>
          <w:ilvl w:val="0"/>
          <w:numId w:val="2"/>
        </w:numPr>
        <w:spacing w:after="60" w:line="270"/>
      </w:pPr>
      <w:r>
        <w:t xml:space="preserve">Visão financeira de receita projetada e retorno por cliente.</w:t>
      </w:r>
    </w:p>
    <w:p>
      <w:pPr>
        <w:pStyle w:val="Heading2"/>
      </w:pPr>
      <w:r>
        <w:t xml:space="preserve">Memória de campanhas (Biblioteca)</w:t>
      </w:r>
    </w:p>
    <w:p>
      <w:pPr>
        <w:spacing w:after="120" w:line="276"/>
      </w:pPr>
      <w:r>
        <w:t xml:space="preserve">Registra o que funcionou e o que falhou em cada campanha, com CPL e ROAS reais. A IA usa esse histórico para gerar estratégias mais precisas e nunca repetir os mesmos erros.</w:t>
      </w:r>
    </w:p>
    <w:p>
      <w:pPr>
        <w:pStyle w:val="Heading2"/>
      </w:pPr>
      <w:r>
        <w:t xml:space="preserve">Estúdio de Criação, Conteúdo, A/B Test e CRO</w:t>
      </w:r>
    </w:p>
    <w:p>
      <w:pPr>
        <w:spacing w:after="120" w:line="276"/>
      </w:pPr>
      <w:r>
        <w:t xml:space="preserve">A camada de execução: criação de campanhas, produção de conteúdo, testes A/B e otimização de conversão (CRO) — tudo conectado ao diagnóstico e aos benchmarks.</w:t>
      </w:r>
    </w:p>
    <w:p>
      <w:pPr>
        <w:pStyle w:val="Heading2"/>
      </w:pPr>
      <w:r>
        <w:t xml:space="preserve">Relatórios e Integrações</w:t>
      </w:r>
    </w:p>
    <w:p>
      <w:pPr>
        <w:pStyle w:val="ListParagraph"/>
        <w:numPr>
          <w:ilvl w:val="0"/>
          <w:numId w:val="2"/>
        </w:numPr>
        <w:spacing w:after="60" w:line="270"/>
      </w:pPr>
      <w:r>
        <w:t xml:space="preserve">Geração de relatórios (incl. PDF) — substitui as horas de planilha do gestor.</w:t>
      </w:r>
    </w:p>
    <w:p>
      <w:pPr>
        <w:pStyle w:val="ListParagraph"/>
        <w:numPr>
          <w:ilvl w:val="0"/>
          <w:numId w:val="2"/>
        </w:numPr>
        <w:spacing w:after="60" w:line="270"/>
      </w:pPr>
      <w:r>
        <w:t xml:space="preserve">Conexão direta com Meta Ads e Google Ads: contas, pixels, formulários de lead, auditoria de rastreamento, alertas de Performance Max, palavras-chave negativas e GA4, com monitor de saúde das conexões.</w:t>
      </w:r>
    </w:p>
    <w:p>
      <w:r>
        <w:br w:type="page"/>
      </w:r>
    </w:p>
    <w:p>
      <w:pPr>
        <w:pStyle w:val="Heading1"/>
      </w:pPr>
      <w:r>
        <w:t xml:space="preserve">4. Por que a Elyon (e não as alternativas)</w:t>
      </w:r>
    </w:p>
    <w:p>
      <w:pPr>
        <w:spacing w:after="160" w:line="276"/>
      </w:pPr>
      <w:r>
        <w:t xml:space="preserve">O argumento de venda mais forte não é “temos IA” — é que a Elyon entrega decisão, enquanto as alternativas entregam, na melhor das hipóteses, dado bruto. Veja o comparativo:</w:t>
      </w:r>
    </w:p>
    <w:tbl>
      <w:tblPr>
        <w:tblW w:type="dxa" w:w="9360"/>
        <w:tblBorders>
          <w:top w:val="single" w:color="E6E5E0" w:sz="1"/>
          <w:left w:val="single" w:color="E6E5E0" w:sz="1"/>
          <w:bottom w:val="single" w:color="E6E5E0" w:sz="1"/>
          <w:right w:val="single" w:color="E6E5E0" w:sz="1"/>
          <w:insideH w:val="single" w:color="E6E5E0" w:sz="1"/>
          <w:insideV w:val="single" w:color="E6E5E0" w:sz="1"/>
        </w:tblBorders>
      </w:tblPr>
      <w:tblGrid>
        <w:gridCol w:w="3000"/>
        <w:gridCol w:w="6360"/>
      </w:tblGrid>
      <w:tr>
        <w:trPr>
          <w:tblHeader/>
        </w:trPr>
        <w:tc>
          <w:tcPr>
            <w:tcW w:type="dxa" w:w="3000"/>
            <w:shd w:fill="18191D" w:val="clear"/>
            <w:tcMar>
              <w:top w:type="dxa" w:w="90"/>
              <w:left w:type="dxa" w:w="130"/>
              <w:bottom w:type="dxa" w:w="90"/>
              <w:right w:type="dxa" w:w="130"/>
            </w:tcMar>
            <w:vAlign w:val="center"/>
          </w:tcPr>
          <w:p>
            <w:pPr>
              <w:spacing w:after="0" w:line="264"/>
            </w:pPr>
            <w:r>
              <w:rPr>
                <w:b/>
                <w:bCs/>
                <w:color w:val="FFFFFF"/>
                <w:sz w:val="20"/>
                <w:szCs w:val="20"/>
              </w:rPr>
              <w:t xml:space="preserve">Alternativa</w:t>
            </w:r>
          </w:p>
        </w:tc>
        <w:tc>
          <w:tcPr>
            <w:tcW w:type="dxa" w:w="6360"/>
            <w:shd w:fill="18191D" w:val="clear"/>
            <w:tcMar>
              <w:top w:type="dxa" w:w="90"/>
              <w:left w:type="dxa" w:w="130"/>
              <w:bottom w:type="dxa" w:w="90"/>
              <w:right w:type="dxa" w:w="130"/>
            </w:tcMar>
            <w:vAlign w:val="center"/>
          </w:tcPr>
          <w:p>
            <w:pPr>
              <w:spacing w:after="0" w:line="264"/>
            </w:pPr>
            <w:r>
              <w:rPr>
                <w:b/>
                <w:bCs/>
                <w:color w:val="FFFFFF"/>
                <w:sz w:val="20"/>
                <w:szCs w:val="20"/>
              </w:rPr>
              <w:t xml:space="preserve">Por que a Elyon ganha</w:t>
            </w:r>
          </w:p>
        </w:tc>
      </w:tr>
      <w:tr>
        <w:tc>
          <w:tcPr>
            <w:tcW w:type="dxa" w:w="3000"/>
            <w:shd w:fill="ECECE8" w:val="clear"/>
            <w:tcMar>
              <w:top w:type="dxa" w:w="90"/>
              <w:left w:type="dxa" w:w="130"/>
              <w:bottom w:type="dxa" w:w="90"/>
              <w:right w:type="dxa" w:w="130"/>
            </w:tcMar>
            <w:vAlign w:val="center"/>
          </w:tcPr>
          <w:p>
            <w:pPr>
              <w:spacing w:after="0" w:line="264"/>
            </w:pPr>
            <w:r>
              <w:rPr>
                <w:b/>
                <w:bCs/>
                <w:sz w:val="20"/>
                <w:szCs w:val="20"/>
              </w:rPr>
              <w:t xml:space="preserve">Semrush / SimilarWeb</w:t>
            </w:r>
          </w:p>
        </w:tc>
        <w:tc>
          <w:tcPr>
            <w:tcW w:type="dxa" w:w="6360"/>
            <w:tcMar>
              <w:top w:type="dxa" w:w="90"/>
              <w:left w:type="dxa" w:w="130"/>
              <w:bottom w:type="dxa" w:w="90"/>
              <w:right w:type="dxa" w:w="130"/>
            </w:tcMar>
            <w:vAlign w:val="center"/>
          </w:tcPr>
          <w:p>
            <w:pPr>
              <w:spacing w:after="0" w:line="264"/>
            </w:pPr>
            <w:r>
              <w:rPr>
                <w:sz w:val="20"/>
                <w:szCs w:val="20"/>
              </w:rPr>
              <w:t xml:space="preserve">Dão dado bruto e genérico. A Elyon transforma o dado na decisão e já entrega a ação.</w:t>
            </w:r>
          </w:p>
        </w:tc>
      </w:tr>
      <w:tr>
        <w:tc>
          <w:tcPr>
            <w:tcW w:type="dxa" w:w="3000"/>
            <w:shd w:fill="ECECE8" w:val="clear"/>
            <w:tcMar>
              <w:top w:type="dxa" w:w="90"/>
              <w:left w:type="dxa" w:w="130"/>
              <w:bottom w:type="dxa" w:w="90"/>
              <w:right w:type="dxa" w:w="130"/>
            </w:tcMar>
            <w:vAlign w:val="center"/>
          </w:tcPr>
          <w:p>
            <w:pPr>
              <w:spacing w:after="0" w:line="264"/>
            </w:pPr>
            <w:r>
              <w:rPr>
                <w:b/>
                <w:bCs/>
                <w:sz w:val="20"/>
                <w:szCs w:val="20"/>
              </w:rPr>
              <w:t xml:space="preserve">Consultor / freelancer</w:t>
            </w:r>
          </w:p>
        </w:tc>
        <w:tc>
          <w:tcPr>
            <w:tcW w:type="dxa" w:w="6360"/>
            <w:tcMar>
              <w:top w:type="dxa" w:w="90"/>
              <w:left w:type="dxa" w:w="130"/>
              <w:bottom w:type="dxa" w:w="90"/>
              <w:right w:type="dxa" w:w="130"/>
            </w:tcMar>
            <w:vAlign w:val="center"/>
          </w:tcPr>
          <w:p>
            <w:pPr>
              <w:spacing w:after="0" w:line="264"/>
            </w:pPr>
            <w:r>
              <w:rPr>
                <w:sz w:val="20"/>
                <w:szCs w:val="20"/>
              </w:rPr>
              <w:t xml:space="preserve">Custo alto e dependência de agenda. A Elyon responde na hora, 24h, por uma fração do preço.</w:t>
            </w:r>
          </w:p>
        </w:tc>
      </w:tr>
      <w:tr>
        <w:tc>
          <w:tcPr>
            <w:tcW w:type="dxa" w:w="3000"/>
            <w:shd w:fill="ECECE8" w:val="clear"/>
            <w:tcMar>
              <w:top w:type="dxa" w:w="90"/>
              <w:left w:type="dxa" w:w="130"/>
              <w:bottom w:type="dxa" w:w="90"/>
              <w:right w:type="dxa" w:w="130"/>
            </w:tcMar>
            <w:vAlign w:val="center"/>
          </w:tcPr>
          <w:p>
            <w:pPr>
              <w:spacing w:after="0" w:line="264"/>
            </w:pPr>
            <w:r>
              <w:rPr>
                <w:b/>
                <w:bCs/>
                <w:sz w:val="20"/>
                <w:szCs w:val="20"/>
              </w:rPr>
              <w:t xml:space="preserve">ChatGPT / Claude puro</w:t>
            </w:r>
          </w:p>
        </w:tc>
        <w:tc>
          <w:tcPr>
            <w:tcW w:type="dxa" w:w="6360"/>
            <w:tcMar>
              <w:top w:type="dxa" w:w="90"/>
              <w:left w:type="dxa" w:w="130"/>
              <w:bottom w:type="dxa" w:w="90"/>
              <w:right w:type="dxa" w:w="130"/>
            </w:tcMar>
            <w:vAlign w:val="center"/>
          </w:tcPr>
          <w:p>
            <w:pPr>
              <w:spacing w:after="0" w:line="264"/>
            </w:pPr>
            <w:r>
              <w:rPr>
                <w:sz w:val="20"/>
                <w:szCs w:val="20"/>
              </w:rPr>
              <w:t xml:space="preserve">Não conhece o negócio nem o nicho — responde no genérico. A Elyon usa benchmarks reais e o histórico do cliente.</w:t>
            </w:r>
          </w:p>
        </w:tc>
      </w:tr>
      <w:tr>
        <w:tc>
          <w:tcPr>
            <w:tcW w:type="dxa" w:w="3000"/>
            <w:shd w:fill="ECECE8" w:val="clear"/>
            <w:tcMar>
              <w:top w:type="dxa" w:w="90"/>
              <w:left w:type="dxa" w:w="130"/>
              <w:bottom w:type="dxa" w:w="90"/>
              <w:right w:type="dxa" w:w="130"/>
            </w:tcMar>
            <w:vAlign w:val="center"/>
          </w:tcPr>
          <w:p>
            <w:pPr>
              <w:spacing w:after="0" w:line="264"/>
            </w:pPr>
            <w:r>
              <w:rPr>
                <w:b/>
                <w:bCs/>
                <w:sz w:val="20"/>
                <w:szCs w:val="20"/>
              </w:rPr>
              <w:t xml:space="preserve">Planilha manual</w:t>
            </w:r>
          </w:p>
        </w:tc>
        <w:tc>
          <w:tcPr>
            <w:tcW w:type="dxa" w:w="6360"/>
            <w:tcMar>
              <w:top w:type="dxa" w:w="90"/>
              <w:left w:type="dxa" w:w="130"/>
              <w:bottom w:type="dxa" w:w="90"/>
              <w:right w:type="dxa" w:w="130"/>
            </w:tcMar>
            <w:vAlign w:val="center"/>
          </w:tcPr>
          <w:p>
            <w:pPr>
              <w:spacing w:after="0" w:line="264"/>
            </w:pPr>
            <w:r>
              <w:rPr>
                <w:sz w:val="20"/>
                <w:szCs w:val="20"/>
              </w:rPr>
              <w:t xml:space="preserve">2 horas de trabalho por cliente, sujeito a erro. A Elyon faz em 2 minutos, com dado validado.</w:t>
            </w:r>
          </w:p>
        </w:tc>
      </w:tr>
    </w:tbl>
    <w:p>
      <w:pPr>
        <w:spacing w:after="140"/>
      </w:pPr>
      <w:r>
        <w:t xml:space="preserve"/>
      </w:r>
    </w:p>
    <w:tbl>
      <w:tblPr>
        <w:tblW w:type="dxa" w:w="9360"/>
        <w:tblBorders>
          <w:top w:val="single" w:color="EBF0FE" w:sz="1"/>
          <w:left w:val="single" w:color="2B5BE3" w:sz="24"/>
          <w:bottom w:val="single" w:color="EBF0FE" w:sz="1"/>
          <w:right w:val="single" w:color="EBF0FE" w:sz="1"/>
          <w:insideH w:val="single" w:color="auto" w:sz="4"/>
          <w:insideV w:val="single" w:color="auto" w:sz="4"/>
        </w:tblBorders>
      </w:tblPr>
      <w:tblGrid>
        <w:gridCol w:w="9360"/>
      </w:tblGrid>
      <w:tr>
        <w:tc>
          <w:tcPr>
            <w:tcW w:type="dxa" w:w="9360"/>
            <w:shd w:fill="EBF0FE" w:val="clear"/>
            <w:tcMar>
              <w:top w:type="dxa" w:w="140"/>
              <w:left w:type="dxa" w:w="200"/>
              <w:bottom w:type="dxa" w:w="140"/>
              <w:right w:type="dxa" w:w="180"/>
            </w:tcMar>
          </w:tcPr>
          <w:p>
            <w:pPr>
              <w:spacing w:after="0" w:line="276"/>
            </w:pPr>
            <w:r>
              <w:rPr>
                <w:b/>
                <w:bCs/>
                <w:color w:val="1E47C4"/>
              </w:rPr>
              <w:t xml:space="preserve">A frase que resume o diferencial: </w:t>
            </w:r>
            <w:r>
              <w:rPr>
                <w:i/>
                <w:iCs/>
                <w:color w:val="18191D"/>
              </w:rPr>
              <w:t xml:space="preserve">“Sem planilha. Sem consultor caro. Sem achismo.”</w:t>
            </w:r>
          </w:p>
        </w:tc>
      </w:tr>
    </w:tbl>
    <w:p>
      <w:pPr>
        <w:pStyle w:val="Heading1"/>
      </w:pPr>
      <w:r>
        <w:t xml:space="preserve">5. Como funciona — em 3 passos</w:t>
      </w:r>
    </w:p>
    <w:p>
      <w:pPr>
        <w:pStyle w:val="ListParagraph"/>
        <w:numPr>
          <w:ilvl w:val="0"/>
          <w:numId w:val="3"/>
        </w:numPr>
        <w:spacing w:after="80" w:line="270"/>
      </w:pPr>
      <w:r>
        <w:rPr>
          <w:b/>
          <w:bCs/>
        </w:rPr>
        <w:t xml:space="preserve">Configurar. </w:t>
      </w:r>
      <w:r>
        <w:t xml:space="preserve">O cliente informa nicho, cidade e budget e conecta Meta Ads e Google Ads. A Elyon identifica os benchmarks reais do segmento em segundos.</w:t>
      </w:r>
    </w:p>
    <w:p>
      <w:pPr>
        <w:pStyle w:val="ListParagraph"/>
        <w:numPr>
          <w:ilvl w:val="0"/>
          <w:numId w:val="3"/>
        </w:numPr>
        <w:spacing w:after="80" w:line="270"/>
      </w:pPr>
      <w:r>
        <w:rPr>
          <w:b/>
          <w:bCs/>
        </w:rPr>
        <w:t xml:space="preserve">O Head de Growth analisa. </w:t>
      </w:r>
      <w:r>
        <w:t xml:space="preserve">Diagnóstico do funil TOFU/MOFU/BOFU com dados reais — o que escalar, cortar e testar — em um plano de 90 dias com metas de leads e receita.</w:t>
      </w:r>
    </w:p>
    <w:p>
      <w:pPr>
        <w:pStyle w:val="ListParagraph"/>
        <w:numPr>
          <w:ilvl w:val="0"/>
          <w:numId w:val="3"/>
        </w:numPr>
        <w:spacing w:after="80" w:line="270"/>
      </w:pPr>
      <w:r>
        <w:rPr>
          <w:b/>
          <w:bCs/>
        </w:rPr>
        <w:t xml:space="preserve">Executar com dados reais. </w:t>
      </w:r>
      <w:r>
        <w:t xml:space="preserve">O NOUS responde dúvidas com o contexto do negócio, e o histórico de campanhas alimenta as decisões futuras. Zero achismo.</w:t>
      </w:r>
    </w:p>
    <w:p>
      <w:r>
        <w:br w:type="page"/>
      </w:r>
    </w:p>
    <w:p>
      <w:pPr>
        <w:pStyle w:val="Heading1"/>
      </w:pPr>
      <w:r>
        <w:t xml:space="preserve">6. Planos e preços</w:t>
      </w:r>
    </w:p>
    <w:p>
      <w:pPr>
        <w:spacing w:after="160" w:line="276"/>
      </w:pPr>
      <w:r>
        <w:t xml:space="preserve">O funil comercial é desenhado como uma jornada — Diagnóstico → Acompanhamento → Operação. O diagnóstico gratuito é a isca de entrada; os planos pagos escalam por número de clientes atendidos.</w:t>
      </w:r>
    </w:p>
    <w:tbl>
      <w:tblPr>
        <w:tblW w:type="dxa" w:w="9360"/>
        <w:tblBorders>
          <w:top w:val="single" w:color="E6E5E0" w:sz="1"/>
          <w:left w:val="single" w:color="E6E5E0" w:sz="1"/>
          <w:bottom w:val="single" w:color="E6E5E0" w:sz="1"/>
          <w:right w:val="single" w:color="E6E5E0" w:sz="1"/>
          <w:insideH w:val="single" w:color="E6E5E0" w:sz="1"/>
          <w:insideV w:val="single" w:color="E6E5E0" w:sz="1"/>
        </w:tblBorders>
      </w:tblPr>
      <w:tblGrid>
        <w:gridCol w:w="1900"/>
        <w:gridCol w:w="1500"/>
        <w:gridCol w:w="5960"/>
      </w:tblGrid>
      <w:tr>
        <w:trPr>
          <w:tblHeader/>
        </w:trPr>
        <w:tc>
          <w:tcPr>
            <w:tcW w:type="dxa" w:w="1900"/>
            <w:shd w:fill="18191D" w:val="clear"/>
            <w:tcMar>
              <w:top w:type="dxa" w:w="90"/>
              <w:left w:type="dxa" w:w="130"/>
              <w:bottom w:type="dxa" w:w="90"/>
              <w:right w:type="dxa" w:w="130"/>
            </w:tcMar>
            <w:vAlign w:val="center"/>
          </w:tcPr>
          <w:p>
            <w:pPr>
              <w:spacing w:after="0" w:line="264"/>
            </w:pPr>
            <w:r>
              <w:rPr>
                <w:b/>
                <w:bCs/>
                <w:color w:val="FFFFFF"/>
                <w:sz w:val="20"/>
                <w:szCs w:val="20"/>
              </w:rPr>
              <w:t xml:space="preserve">Plano</w:t>
            </w:r>
          </w:p>
        </w:tc>
        <w:tc>
          <w:tcPr>
            <w:tcW w:type="dxa" w:w="1500"/>
            <w:shd w:fill="18191D" w:val="clear"/>
            <w:tcMar>
              <w:top w:type="dxa" w:w="90"/>
              <w:left w:type="dxa" w:w="130"/>
              <w:bottom w:type="dxa" w:w="90"/>
              <w:right w:type="dxa" w:w="130"/>
            </w:tcMar>
            <w:vAlign w:val="center"/>
          </w:tcPr>
          <w:p>
            <w:pPr>
              <w:spacing w:after="0" w:line="264"/>
            </w:pPr>
            <w:r>
              <w:rPr>
                <w:b/>
                <w:bCs/>
                <w:color w:val="FFFFFF"/>
                <w:sz w:val="20"/>
                <w:szCs w:val="20"/>
              </w:rPr>
              <w:t xml:space="preserve">Preço</w:t>
            </w:r>
          </w:p>
        </w:tc>
        <w:tc>
          <w:tcPr>
            <w:tcW w:type="dxa" w:w="5960"/>
            <w:shd w:fill="18191D" w:val="clear"/>
            <w:tcMar>
              <w:top w:type="dxa" w:w="90"/>
              <w:left w:type="dxa" w:w="130"/>
              <w:bottom w:type="dxa" w:w="90"/>
              <w:right w:type="dxa" w:w="130"/>
            </w:tcMar>
            <w:vAlign w:val="center"/>
          </w:tcPr>
          <w:p>
            <w:pPr>
              <w:spacing w:after="0" w:line="264"/>
            </w:pPr>
            <w:r>
              <w:rPr>
                <w:b/>
                <w:bCs/>
                <w:color w:val="FFFFFF"/>
                <w:sz w:val="20"/>
                <w:szCs w:val="20"/>
              </w:rPr>
              <w:t xml:space="preserve">Para quem / o que inclui</w:t>
            </w:r>
          </w:p>
        </w:tc>
      </w:tr>
      <w:tr>
        <w:tc>
          <w:tcPr>
            <w:tcW w:type="dxa" w:w="1900"/>
            <w:shd w:fill="E3F6EE" w:val="clear"/>
            <w:tcMar>
              <w:top w:type="dxa" w:w="90"/>
              <w:left w:type="dxa" w:w="130"/>
              <w:bottom w:type="dxa" w:w="90"/>
              <w:right w:type="dxa" w:w="130"/>
            </w:tcMar>
            <w:vAlign w:val="center"/>
          </w:tcPr>
          <w:p>
            <w:pPr>
              <w:spacing w:after="0" w:line="264"/>
            </w:pPr>
            <w:r>
              <w:rPr>
                <w:b/>
                <w:bCs/>
                <w:color w:val="0E9E6E"/>
                <w:sz w:val="20"/>
                <w:szCs w:val="20"/>
              </w:rPr>
              <w:t xml:space="preserve">Diagnóstico</w:t>
            </w:r>
          </w:p>
        </w:tc>
        <w:tc>
          <w:tcPr>
            <w:tcW w:type="dxa" w:w="1500"/>
            <w:tcMar>
              <w:top w:type="dxa" w:w="90"/>
              <w:left w:type="dxa" w:w="130"/>
              <w:bottom w:type="dxa" w:w="90"/>
              <w:right w:type="dxa" w:w="130"/>
            </w:tcMar>
            <w:vAlign w:val="center"/>
          </w:tcPr>
          <w:p>
            <w:pPr>
              <w:spacing w:after="0" w:line="264"/>
            </w:pPr>
            <w:r>
              <w:rPr>
                <w:b/>
                <w:bCs/>
                <w:sz w:val="20"/>
                <w:szCs w:val="20"/>
              </w:rPr>
              <w:t xml:space="preserve">Grátis</w:t>
            </w:r>
          </w:p>
        </w:tc>
        <w:tc>
          <w:tcPr>
            <w:tcW w:type="dxa" w:w="5960"/>
            <w:tcMar>
              <w:top w:type="dxa" w:w="90"/>
              <w:left w:type="dxa" w:w="130"/>
              <w:bottom w:type="dxa" w:w="90"/>
              <w:right w:type="dxa" w:w="130"/>
            </w:tcMar>
            <w:vAlign w:val="center"/>
          </w:tcPr>
          <w:p>
            <w:pPr>
              <w:spacing w:after="0" w:line="264"/>
            </w:pPr>
            <w:r>
              <w:rPr>
                <w:sz w:val="20"/>
                <w:szCs w:val="20"/>
              </w:rPr>
              <w:t xml:space="preserve">1 análise completa com IA, 11 dimensões, relatório em PDF e sugestões priorizadas. A porta de entrada.</w:t>
            </w:r>
          </w:p>
        </w:tc>
      </w:tr>
      <w:tr>
        <w:tc>
          <w:tcPr>
            <w:tcW w:type="dxa" w:w="1900"/>
            <w:shd w:fill="EBF0FE" w:val="clear"/>
            <w:tcMar>
              <w:top w:type="dxa" w:w="90"/>
              <w:left w:type="dxa" w:w="130"/>
              <w:bottom w:type="dxa" w:w="90"/>
              <w:right w:type="dxa" w:w="130"/>
            </w:tcMar>
            <w:vAlign w:val="center"/>
          </w:tcPr>
          <w:p>
            <w:pPr>
              <w:spacing w:after="0" w:line="264"/>
            </w:pPr>
            <w:r>
              <w:rPr>
                <w:b/>
                <w:bCs/>
                <w:color w:val="1E47C4"/>
                <w:sz w:val="20"/>
                <w:szCs w:val="20"/>
              </w:rPr>
              <w:t xml:space="preserve">Plataforma</w:t>
            </w:r>
          </w:p>
        </w:tc>
        <w:tc>
          <w:tcPr>
            <w:tcW w:type="dxa" w:w="1500"/>
            <w:tcMar>
              <w:top w:type="dxa" w:w="90"/>
              <w:left w:type="dxa" w:w="130"/>
              <w:bottom w:type="dxa" w:w="90"/>
              <w:right w:type="dxa" w:w="130"/>
            </w:tcMar>
            <w:vAlign w:val="center"/>
          </w:tcPr>
          <w:p>
            <w:pPr>
              <w:spacing w:after="0" w:line="264"/>
            </w:pPr>
            <w:r>
              <w:rPr>
                <w:b/>
                <w:bCs/>
                <w:sz w:val="20"/>
                <w:szCs w:val="20"/>
              </w:rPr>
              <w:t xml:space="preserve">R$297/mês</w:t>
            </w:r>
          </w:p>
        </w:tc>
        <w:tc>
          <w:tcPr>
            <w:tcW w:type="dxa" w:w="5960"/>
            <w:tcMar>
              <w:top w:type="dxa" w:w="90"/>
              <w:left w:type="dxa" w:w="130"/>
              <w:bottom w:type="dxa" w:w="90"/>
              <w:right w:type="dxa" w:w="130"/>
            </w:tcMar>
            <w:vAlign w:val="center"/>
          </w:tcPr>
          <w:p>
            <w:pPr>
              <w:spacing w:after="0" w:line="264"/>
            </w:pPr>
            <w:r>
              <w:rPr>
                <w:sz w:val="20"/>
                <w:szCs w:val="20"/>
              </w:rPr>
              <w:t xml:space="preserve">Profissional ou pequeno negócio (1 cliente). Estratégias ilimitadas, NOUS, benchmarks por nicho e histórico de campanhas.</w:t>
            </w:r>
          </w:p>
        </w:tc>
      </w:tr>
      <w:tr>
        <w:tc>
          <w:tcPr>
            <w:tcW w:type="dxa" w:w="1900"/>
            <w:shd w:fill="EBF0FE" w:val="clear"/>
            <w:tcMar>
              <w:top w:type="dxa" w:w="90"/>
              <w:left w:type="dxa" w:w="130"/>
              <w:bottom w:type="dxa" w:w="90"/>
              <w:right w:type="dxa" w:w="130"/>
            </w:tcMar>
            <w:vAlign w:val="center"/>
          </w:tcPr>
          <w:p>
            <w:r>
              <w:rPr>
                <w:b/>
                <w:bCs/>
                <w:color w:val="1E47C4"/>
                <w:sz w:val="20"/>
                <w:szCs w:val="20"/>
              </w:rPr>
              <w:t xml:space="preserve">Agency</w:t>
            </w:r>
          </w:p>
          <w:p>
            <w:r>
              <w:rPr>
                <w:b/>
                <w:bCs/>
                <w:color w:val="D9870B"/>
                <w:sz w:val="16"/>
                <w:szCs w:val="16"/>
              </w:rPr>
              <w:t xml:space="preserve">★ Mais popular</w:t>
            </w:r>
          </w:p>
        </w:tc>
        <w:tc>
          <w:tcPr>
            <w:tcW w:type="dxa" w:w="1500"/>
            <w:tcMar>
              <w:top w:type="dxa" w:w="90"/>
              <w:left w:type="dxa" w:w="130"/>
              <w:bottom w:type="dxa" w:w="90"/>
              <w:right w:type="dxa" w:w="130"/>
            </w:tcMar>
            <w:vAlign w:val="center"/>
          </w:tcPr>
          <w:p>
            <w:pPr>
              <w:spacing w:after="0" w:line="264"/>
            </w:pPr>
            <w:r>
              <w:rPr>
                <w:b/>
                <w:bCs/>
                <w:sz w:val="20"/>
                <w:szCs w:val="20"/>
              </w:rPr>
              <w:t xml:space="preserve">R$997/mês</w:t>
            </w:r>
          </w:p>
        </w:tc>
        <w:tc>
          <w:tcPr>
            <w:tcW w:type="dxa" w:w="5960"/>
            <w:tcMar>
              <w:top w:type="dxa" w:w="90"/>
              <w:left w:type="dxa" w:w="130"/>
              <w:bottom w:type="dxa" w:w="90"/>
              <w:right w:type="dxa" w:w="130"/>
            </w:tcMar>
            <w:vAlign w:val="center"/>
          </w:tcPr>
          <w:p>
            <w:pPr>
              <w:spacing w:after="0" w:line="264"/>
            </w:pPr>
            <w:r>
              <w:rPr>
                <w:sz w:val="20"/>
                <w:szCs w:val="20"/>
              </w:rPr>
              <w:t xml:space="preserve">Gestores e consultores (até 8 clientes). Tudo da Plataforma + conexão Meta + Google, auditoria automática e suporte prioritário.</w:t>
            </w:r>
          </w:p>
        </w:tc>
      </w:tr>
      <w:tr>
        <w:tc>
          <w:tcPr>
            <w:tcW w:type="dxa" w:w="1900"/>
            <w:shd w:fill="E3F6EE" w:val="clear"/>
            <w:tcMar>
              <w:top w:type="dxa" w:w="90"/>
              <w:left w:type="dxa" w:w="130"/>
              <w:bottom w:type="dxa" w:w="90"/>
              <w:right w:type="dxa" w:w="130"/>
            </w:tcMar>
            <w:vAlign w:val="center"/>
          </w:tcPr>
          <w:p>
            <w:pPr>
              <w:spacing w:after="0" w:line="264"/>
            </w:pPr>
            <w:r>
              <w:rPr>
                <w:b/>
                <w:bCs/>
                <w:color w:val="0E9E6E"/>
                <w:sz w:val="20"/>
                <w:szCs w:val="20"/>
              </w:rPr>
              <w:t xml:space="preserve">Enterprise</w:t>
            </w:r>
          </w:p>
        </w:tc>
        <w:tc>
          <w:tcPr>
            <w:tcW w:type="dxa" w:w="1500"/>
            <w:tcMar>
              <w:top w:type="dxa" w:w="90"/>
              <w:left w:type="dxa" w:w="130"/>
              <w:bottom w:type="dxa" w:w="90"/>
              <w:right w:type="dxa" w:w="130"/>
            </w:tcMar>
            <w:vAlign w:val="center"/>
          </w:tcPr>
          <w:p>
            <w:pPr>
              <w:spacing w:after="0" w:line="264"/>
            </w:pPr>
            <w:r>
              <w:rPr>
                <w:b/>
                <w:bCs/>
                <w:sz w:val="20"/>
                <w:szCs w:val="20"/>
              </w:rPr>
              <w:t xml:space="preserve">R$2.997/mês</w:t>
            </w:r>
          </w:p>
        </w:tc>
        <w:tc>
          <w:tcPr>
            <w:tcW w:type="dxa" w:w="5960"/>
            <w:tcMar>
              <w:top w:type="dxa" w:w="90"/>
              <w:left w:type="dxa" w:w="130"/>
              <w:bottom w:type="dxa" w:w="90"/>
              <w:right w:type="dxa" w:w="130"/>
            </w:tcMar>
            <w:vAlign w:val="center"/>
          </w:tcPr>
          <w:p>
            <w:pPr>
              <w:spacing w:after="0" w:line="264"/>
            </w:pPr>
            <w:r>
              <w:rPr>
                <w:sz w:val="20"/>
                <w:szCs w:val="20"/>
              </w:rPr>
              <w:t xml:space="preserve">Agências e empresas (até 15 clientes). Tudo do Agency + múltiplas contas, relatórios avançados, acesso à API e SLA garantido.</w:t>
            </w:r>
          </w:p>
        </w:tc>
      </w:tr>
    </w:tbl>
    <w:p>
      <w:pPr>
        <w:spacing w:after="120"/>
      </w:pPr>
      <w:r>
        <w:t xml:space="preserve"/>
      </w:r>
    </w:p>
    <w:p>
      <w:pPr>
        <w:spacing w:after="120" w:line="276"/>
      </w:pPr>
      <w:r>
        <w:rPr>
          <w:i/>
          <w:iCs/>
          <w:color w:val="565862"/>
        </w:rPr>
        <w:t xml:space="preserve">Há opção de cobrança anual com 20% de desconto, pagamento seguro via Stripe, acesso imediato após o pagamento e cancelamento a qualquer momento.</w:t>
      </w:r>
    </w:p>
    <w:p>
      <w:r>
        <w:br w:type="page"/>
      </w:r>
    </w:p>
    <w:p>
      <w:pPr>
        <w:pStyle w:val="Heading1"/>
      </w:pPr>
      <w:r>
        <w:t xml:space="preserve">7. Guia de vendas — como abordar</w:t>
      </w:r>
    </w:p>
    <w:p>
      <w:pPr>
        <w:spacing w:after="140" w:line="276"/>
      </w:pPr>
      <w:r>
        <w:t xml:space="preserve">A regra de ouro: não venda “uma ferramenta com IA”. Venda o resultado e a clareza. O cliente não quer outro dashboard — quer saber se está ganhando ou perdendo dinheiro e o que fazer a respeito. Comece sempre pela dor, prove com o diagnóstico gratuito e só então fale de plano.</w:t>
      </w:r>
    </w:p>
    <w:tbl>
      <w:tblPr>
        <w:tblW w:type="dxa" w:w="9360"/>
        <w:tblBorders>
          <w:top w:val="single" w:color="EBF0FE" w:sz="1"/>
          <w:left w:val="single" w:color="2B5BE3" w:sz="24"/>
          <w:bottom w:val="single" w:color="EBF0FE" w:sz="1"/>
          <w:right w:val="single" w:color="EBF0FE" w:sz="1"/>
          <w:insideH w:val="single" w:color="auto" w:sz="4"/>
          <w:insideV w:val="single" w:color="auto" w:sz="4"/>
        </w:tblBorders>
      </w:tblPr>
      <w:tblGrid>
        <w:gridCol w:w="9360"/>
      </w:tblGrid>
      <w:tr>
        <w:tc>
          <w:tcPr>
            <w:tcW w:type="dxa" w:w="9360"/>
            <w:shd w:fill="EBF0FE" w:val="clear"/>
            <w:tcMar>
              <w:top w:type="dxa" w:w="140"/>
              <w:left w:type="dxa" w:w="200"/>
              <w:bottom w:type="dxa" w:w="140"/>
              <w:right w:type="dxa" w:w="180"/>
            </w:tcMar>
          </w:tcPr>
          <w:p>
            <w:pPr>
              <w:spacing w:after="80" w:line="276"/>
            </w:pPr>
            <w:r>
              <w:rPr>
                <w:b/>
                <w:bCs/>
                <w:color w:val="1E47C4"/>
              </w:rPr>
              <w:t xml:space="preserve">Estrutura que funciona em qualquer canal: </w:t>
            </w:r>
          </w:p>
          <w:p>
            <w:pPr>
              <w:spacing w:after="0" w:line="276"/>
            </w:pPr>
            <w:r>
              <w:rPr>
                <w:color w:val="18191D"/>
              </w:rPr>
              <w:t xml:space="preserve">1) Dor específica do perfil  →  2) Oferta do diagnóstico grátis  →  3) Mostrar o gap (benchmark do nicho)  →  4) Plano certo para o tamanho dele.</w:t>
            </w:r>
          </w:p>
        </w:tc>
      </w:tr>
    </w:tbl>
    <w:p>
      <w:pPr>
        <w:pStyle w:val="Heading2"/>
      </w:pPr>
      <w:r>
        <w:t xml:space="preserve">Pitch para o Dono de negócio</w:t>
      </w:r>
    </w:p>
    <w:p>
      <w:pPr>
        <w:spacing w:after="100" w:line="276"/>
      </w:pPr>
      <w:r>
        <w:rPr>
          <w:i/>
          <w:iCs/>
          <w:color w:val="565862"/>
        </w:rPr>
        <w:t xml:space="preserve">Foco: clareza e controle. Ele não entende de marketing e tem medo de estar jogando dinheiro fora.</w:t>
      </w:r>
    </w:p>
    <w:p>
      <w:pPr>
        <w:spacing w:after="100" w:line="276"/>
      </w:pPr>
      <w:r>
        <w:t xml:space="preserve">“Você investe em anúncio todo mês mas consegue dizer, com número, se o seu custo por lead está bom ou ruim para o seu segmento? A Elyon conecta suas contas e te mostra em 2 minutos exatamente onde o dinheiro está indo embora e o que mudar — comparado com clínicas/lojas como a sua, não com uma média genérica. O diagnóstico é gratuito. Topa eu rodar no seu negócio?”</w:t>
      </w:r>
    </w:p>
    <w:p>
      <w:pPr>
        <w:spacing w:after="140" w:line="276"/>
      </w:pPr>
      <w:r>
        <w:rPr>
          <w:color w:val="565862"/>
        </w:rPr>
        <w:t xml:space="preserve">Plano natural: Plataforma (R$297/mês). Gancho: “menos do que você gasta em um dia de anúncio mal direcionado.”</w:t>
      </w:r>
    </w:p>
    <w:p>
      <w:pPr>
        <w:pStyle w:val="Heading2"/>
      </w:pPr>
      <w:r>
        <w:t xml:space="preserve">Pitch para o Gestor de tráfego</w:t>
      </w:r>
    </w:p>
    <w:p>
      <w:pPr>
        <w:spacing w:after="100" w:line="276"/>
      </w:pPr>
      <w:r>
        <w:rPr>
          <w:i/>
          <w:iCs/>
          <w:color w:val="565862"/>
        </w:rPr>
        <w:t xml:space="preserve">Foco: tempo e autoridade. Ele quer entregar mais rápido e defender as decisões com dado.</w:t>
      </w:r>
    </w:p>
    <w:p>
      <w:pPr>
        <w:spacing w:after="100" w:line="276"/>
      </w:pPr>
      <w:r>
        <w:t xml:space="preserve">“Quanto tempo você gasta montando relatório e justificando estratégia para cada cliente? A Elyon te dá em 2 minutos o que leva 2 horas de planilha — com benchmark real de cada nicho para você chegar no cliente com autoridade, não com achismo. Você atende quantos clientes hoje? No plano Agency dá pra gerenciar até 8, com Meta e Google conectados e auditoria automática.”</w:t>
      </w:r>
    </w:p>
    <w:p>
      <w:pPr>
        <w:spacing w:after="140" w:line="276"/>
      </w:pPr>
      <w:r>
        <w:rPr>
          <w:color w:val="565862"/>
        </w:rPr>
        <w:t xml:space="preserve">Plano natural: Agency (R$997/mês). Gancho: “se isso te economiza 1 hora por cliente, já se paga no primeiro dia.”</w:t>
      </w:r>
    </w:p>
    <w:p>
      <w:pPr>
        <w:pStyle w:val="Heading2"/>
      </w:pPr>
      <w:r>
        <w:t xml:space="preserve">Pitch para a Agência</w:t>
      </w:r>
    </w:p>
    <w:p>
      <w:pPr>
        <w:spacing w:after="100" w:line="276"/>
      </w:pPr>
      <w:r>
        <w:rPr>
          <w:i/>
          <w:iCs/>
          <w:color w:val="565862"/>
        </w:rPr>
        <w:t xml:space="preserve">Foco: escala e padrão. Ela quer crescer carteira sem inflar o time nem perder qualidade.</w:t>
      </w:r>
    </w:p>
    <w:p>
      <w:pPr>
        <w:spacing w:after="100" w:line="276"/>
      </w:pPr>
      <w:r>
        <w:t xml:space="preserve">“O gargalo para crescer a carteira normalmente é gente: cada cliente novo exige horas de análise e relatório. A Elyon padroniza esse trabalho com IA e benchmarks reais por nicho — sua equipe entrega diagnóstico e plano de ação em minutos, com a mesma qualidade em todos os clientes. No Enterprise você gerencia até 15 contas, com relatórios avançados, API e SLA.”</w:t>
      </w:r>
    </w:p>
    <w:p>
      <w:pPr>
        <w:spacing w:after="140" w:line="276"/>
      </w:pPr>
      <w:r>
        <w:rPr>
          <w:color w:val="565862"/>
        </w:rPr>
        <w:t xml:space="preserve">Plano natural: Enterprise (R$2.997/mês) ou Agency para começar. Gancho: “o custo equivale a uma fração de um analista júnior, e escala sem contratar.”</w:t>
      </w:r>
    </w:p>
    <w:p>
      <w:r>
        <w:br w:type="page"/>
      </w:r>
    </w:p>
    <w:p>
      <w:pPr>
        <w:pStyle w:val="Heading1"/>
      </w:pPr>
      <w:r>
        <w:t xml:space="preserve">8. Matriz de objeções</w:t>
      </w:r>
    </w:p>
    <w:p>
      <w:pPr>
        <w:spacing w:after="160" w:line="276"/>
      </w:pPr>
      <w:r>
        <w:t xml:space="preserve">As objeções mais comuns e como respondê-las sem ser defensivo — sempre devolvendo para o valor e para o diagnóstico gratuito.</w:t>
      </w:r>
    </w:p>
    <w:tbl>
      <w:tblPr>
        <w:tblW w:type="dxa" w:w="9360"/>
        <w:tblBorders>
          <w:top w:val="single" w:color="E6E5E0" w:sz="1"/>
          <w:left w:val="single" w:color="E6E5E0" w:sz="1"/>
          <w:bottom w:val="single" w:color="E6E5E0" w:sz="1"/>
          <w:right w:val="single" w:color="E6E5E0" w:sz="1"/>
          <w:insideH w:val="single" w:color="E6E5E0" w:sz="1"/>
          <w:insideV w:val="single" w:color="E6E5E0" w:sz="1"/>
        </w:tblBorders>
      </w:tblPr>
      <w:tblGrid>
        <w:gridCol w:w="3200"/>
        <w:gridCol w:w="6160"/>
      </w:tblGrid>
      <w:tr>
        <w:trPr>
          <w:tblHeader/>
        </w:trPr>
        <w:tc>
          <w:tcPr>
            <w:tcW w:type="dxa" w:w="3200"/>
            <w:shd w:fill="18191D" w:val="clear"/>
            <w:tcMar>
              <w:top w:type="dxa" w:w="90"/>
              <w:left w:type="dxa" w:w="130"/>
              <w:bottom w:type="dxa" w:w="90"/>
              <w:right w:type="dxa" w:w="130"/>
            </w:tcMar>
            <w:vAlign w:val="center"/>
          </w:tcPr>
          <w:p>
            <w:pPr>
              <w:spacing w:after="0" w:line="264"/>
            </w:pPr>
            <w:r>
              <w:rPr>
                <w:b/>
                <w:bCs/>
                <w:color w:val="FFFFFF"/>
                <w:sz w:val="20"/>
                <w:szCs w:val="20"/>
              </w:rPr>
              <w:t xml:space="preserve">Objeção</w:t>
            </w:r>
          </w:p>
        </w:tc>
        <w:tc>
          <w:tcPr>
            <w:tcW w:type="dxa" w:w="6160"/>
            <w:shd w:fill="18191D" w:val="clear"/>
            <w:tcMar>
              <w:top w:type="dxa" w:w="90"/>
              <w:left w:type="dxa" w:w="130"/>
              <w:bottom w:type="dxa" w:w="90"/>
              <w:right w:type="dxa" w:w="130"/>
            </w:tcMar>
            <w:vAlign w:val="center"/>
          </w:tcPr>
          <w:p>
            <w:pPr>
              <w:spacing w:after="0" w:line="264"/>
            </w:pPr>
            <w:r>
              <w:rPr>
                <w:b/>
                <w:bCs/>
                <w:color w:val="FFFFFF"/>
                <w:sz w:val="20"/>
                <w:szCs w:val="20"/>
              </w:rPr>
              <w:t xml:space="preserve">Resposta</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“Já uso o ChatGPT pra isso.”</w:t>
            </w:r>
          </w:p>
        </w:tc>
        <w:tc>
          <w:tcPr>
            <w:tcW w:type="dxa" w:w="6160"/>
            <w:tcMar>
              <w:top w:type="dxa" w:w="90"/>
              <w:left w:type="dxa" w:w="130"/>
              <w:bottom w:type="dxa" w:w="90"/>
              <w:right w:type="dxa" w:w="130"/>
            </w:tcMar>
            <w:vAlign w:val="center"/>
          </w:tcPr>
          <w:p>
            <w:pPr>
              <w:spacing w:after="0" w:line="264"/>
            </w:pPr>
            <w:r>
              <w:rPr>
                <w:sz w:val="20"/>
                <w:szCs w:val="20"/>
              </w:rPr>
              <w:t xml:space="preserve">O ChatGPT não conhece o seu nicho nem suas campanhas — responde no genérico. A Elyon usa benchmarks reais do seu segmento e o histórico das suas contas. É a diferença entre um palpite e um diagnóstico.</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“É caro.”</w:t>
            </w:r>
          </w:p>
        </w:tc>
        <w:tc>
          <w:tcPr>
            <w:tcW w:type="dxa" w:w="6160"/>
            <w:tcMar>
              <w:top w:type="dxa" w:w="90"/>
              <w:left w:type="dxa" w:w="130"/>
              <w:bottom w:type="dxa" w:w="90"/>
              <w:right w:type="dxa" w:w="130"/>
            </w:tcMar>
            <w:vAlign w:val="center"/>
          </w:tcPr>
          <w:p>
            <w:pPr>
              <w:spacing w:after="0" w:line="264"/>
            </w:pPr>
            <w:r>
              <w:rPr>
                <w:sz w:val="20"/>
                <w:szCs w:val="20"/>
              </w:rPr>
              <w:t xml:space="preserve">Compare com o custo de um erro de budget ou de uma consultoria. Se a Elyon te economiza 1 hora por cliente ou corrige um CPL inflado, ela se paga no primeiro mês. E o diagnóstico é gratuito — você só decide depois de ver o valor.</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“Minha agência já faz isso.”</w:t>
            </w:r>
          </w:p>
        </w:tc>
        <w:tc>
          <w:tcPr>
            <w:tcW w:type="dxa" w:w="6160"/>
            <w:tcMar>
              <w:top w:type="dxa" w:w="90"/>
              <w:left w:type="dxa" w:w="130"/>
              <w:bottom w:type="dxa" w:w="90"/>
              <w:right w:type="dxa" w:w="130"/>
            </w:tcMar>
            <w:vAlign w:val="center"/>
          </w:tcPr>
          <w:p>
            <w:pPr>
              <w:spacing w:after="0" w:line="264"/>
            </w:pPr>
            <w:r>
              <w:rPr>
                <w:sz w:val="20"/>
                <w:szCs w:val="20"/>
              </w:rPr>
              <w:t xml:space="preserve">Ótimo — a Elyon dá a você o número para cobrar a agência com propriedade. Você passa a saber se o CPL que te entregam está dentro ou fora do benchmark do seu nicho.</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“Não tenho tempo de aprender outra ferramenta.”</w:t>
            </w:r>
          </w:p>
        </w:tc>
        <w:tc>
          <w:tcPr>
            <w:tcW w:type="dxa" w:w="6160"/>
            <w:tcMar>
              <w:top w:type="dxa" w:w="90"/>
              <w:left w:type="dxa" w:w="130"/>
              <w:bottom w:type="dxa" w:w="90"/>
              <w:right w:type="dxa" w:w="130"/>
            </w:tcMar>
            <w:vAlign w:val="center"/>
          </w:tcPr>
          <w:p>
            <w:pPr>
              <w:spacing w:after="0" w:line="264"/>
            </w:pPr>
            <w:r>
              <w:rPr>
                <w:sz w:val="20"/>
                <w:szCs w:val="20"/>
              </w:rPr>
              <w:t xml:space="preserve">Não precisa. Você conecta as contas e pergunta em português, como num chat. A resposta já vem com a ação. O diagnóstico inicial leva 2 minutos.</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“Será que serve pro meu nicho?”</w:t>
            </w:r>
          </w:p>
        </w:tc>
        <w:tc>
          <w:tcPr>
            <w:tcW w:type="dxa" w:w="6160"/>
            <w:tcMar>
              <w:top w:type="dxa" w:w="90"/>
              <w:left w:type="dxa" w:w="130"/>
              <w:bottom w:type="dxa" w:w="90"/>
              <w:right w:type="dxa" w:w="130"/>
            </w:tcMar>
            <w:vAlign w:val="center"/>
          </w:tcPr>
          <w:p>
            <w:pPr>
              <w:spacing w:after="0" w:line="264"/>
            </w:pPr>
            <w:r>
              <w:rPr>
                <w:sz w:val="20"/>
                <w:szCs w:val="20"/>
              </w:rPr>
              <w:t xml:space="preserve">São mais de 80 nichos com dados reais de CPL e ROAS. Me diz o seu segmento que eu rodo o diagnóstico gratuito agora e você vê os números na hora.</w:t>
            </w:r>
          </w:p>
        </w:tc>
      </w:tr>
      <w:tr>
        <w:tc>
          <w:tcPr>
            <w:tcW w:type="dxa" w:w="3200"/>
            <w:shd w:fill="ECECE8" w:val="clear"/>
            <w:tcMar>
              <w:top w:type="dxa" w:w="90"/>
              <w:left w:type="dxa" w:w="130"/>
              <w:bottom w:type="dxa" w:w="90"/>
              <w:right w:type="dxa" w:w="130"/>
            </w:tcMar>
            <w:vAlign w:val="center"/>
          </w:tcPr>
          <w:p>
            <w:pPr>
              <w:spacing w:after="0" w:line="264"/>
            </w:pPr>
            <w:r>
              <w:rPr>
                <w:b/>
                <w:bCs/>
                <w:sz w:val="20"/>
                <w:szCs w:val="20"/>
              </w:rPr>
              <w:t xml:space="preserve">“Meus dados estão seguros?”</w:t>
            </w:r>
          </w:p>
        </w:tc>
        <w:tc>
          <w:tcPr>
            <w:tcW w:type="dxa" w:w="6160"/>
            <w:tcMar>
              <w:top w:type="dxa" w:w="90"/>
              <w:left w:type="dxa" w:w="130"/>
              <w:bottom w:type="dxa" w:w="90"/>
              <w:right w:type="dxa" w:w="130"/>
            </w:tcMar>
            <w:vAlign w:val="center"/>
          </w:tcPr>
          <w:p>
            <w:pPr>
              <w:spacing w:after="0" w:line="264"/>
            </w:pPr>
            <w:r>
              <w:rPr>
                <w:sz w:val="20"/>
                <w:szCs w:val="20"/>
              </w:rPr>
              <w:t xml:space="preserve">A conexão é feita pelos canais oficiais de Meta e Google, o pagamento é via Stripe e você cancela quando quiser. A plataforma tem política de privacidade e DPA.</w:t>
            </w:r>
          </w:p>
        </w:tc>
      </w:tr>
    </w:tbl>
    <w:p>
      <w:pPr>
        <w:spacing w:after="160"/>
      </w:pPr>
      <w:r>
        <w:t xml:space="preserve"/>
      </w:r>
    </w:p>
    <w:p>
      <w:pPr>
        <w:pStyle w:val="Heading2"/>
      </w:pPr>
      <w:r>
        <w:t xml:space="preserve">Fechamento — a oferta irresistível</w:t>
      </w:r>
    </w:p>
    <w:p>
      <w:pPr>
        <w:spacing w:after="100" w:line="276"/>
      </w:pPr>
      <w:r>
        <w:t xml:space="preserve">Sempre que possível, termine pela menor barreira de entrada: o diagnóstico gratuito. Ele faz o produto se vender sozinho, porque mostra o gap real entre o que o cliente faz hoje e o benchmark do nicho.</w:t>
      </w:r>
    </w:p>
    <w:tbl>
      <w:tblPr>
        <w:tblW w:type="dxa" w:w="9360"/>
        <w:tblBorders>
          <w:top w:val="single" w:color="E3F6EE" w:sz="1"/>
          <w:left w:val="single" w:color="0E9E6E" w:sz="24"/>
          <w:bottom w:val="single" w:color="E3F6EE" w:sz="1"/>
          <w:right w:val="single" w:color="E3F6EE" w:sz="1"/>
          <w:insideH w:val="single" w:color="auto" w:sz="4"/>
          <w:insideV w:val="single" w:color="auto" w:sz="4"/>
        </w:tblBorders>
      </w:tblPr>
      <w:tblGrid>
        <w:gridCol w:w="9360"/>
      </w:tblGrid>
      <w:tr>
        <w:tc>
          <w:tcPr>
            <w:tcW w:type="dxa" w:w="9360"/>
            <w:shd w:fill="E3F6EE" w:val="clear"/>
            <w:tcMar>
              <w:top w:type="dxa" w:w="140"/>
              <w:left w:type="dxa" w:w="200"/>
              <w:bottom w:type="dxa" w:w="140"/>
              <w:right w:type="dxa" w:w="180"/>
            </w:tcMar>
          </w:tcPr>
          <w:p>
            <w:pPr>
              <w:spacing w:after="0" w:line="276"/>
            </w:pPr>
            <w:r>
              <w:rPr>
                <w:b/>
                <w:bCs/>
                <w:color w:val="0E9E6E"/>
              </w:rPr>
              <w:t xml:space="preserve">Frase de fechamento: </w:t>
            </w:r>
            <w:r>
              <w:rPr>
                <w:i/>
                <w:iCs/>
                <w:color w:val="18191D"/>
              </w:rPr>
              <w:t xml:space="preserve">“Me diz seu nicho, sua cidade e quanto você investe por mês. Em 2 minutos eu te mostro, de graça, onde está o dinheiro que você está perdendo. Se fizer sentido, a gente fala de plano. Combinado?”</w:t>
            </w:r>
          </w:p>
        </w:tc>
      </w:tr>
    </w:tbl>
    <w:p>
      <w:pPr>
        <w:spacing w:after="200"/>
      </w:pPr>
      <w:r>
        <w:t xml:space="preserve"/>
      </w:r>
    </w:p>
    <w:p>
      <w:pPr>
        <w:pBdr>
          <w:top w:val="single" w:color="2B5BE3" w:sz="6" w:space="8"/>
        </w:pBdr>
        <w:spacing w:after="0" w:before="200"/>
      </w:pPr>
      <w:r>
        <w:rPr>
          <w:i/>
          <w:iCs/>
          <w:color w:val="565862"/>
          <w:sz w:val="18"/>
          <w:szCs w:val="18"/>
        </w:rPr>
        <w:t xml:space="preserve">ELYON · Seu Head de Growth com IA — dados reais, decisão pronta.</w:t>
      </w:r>
    </w:p>
    <w:sectPr>
      <w:footerReference w:type="default" r:id="rId7"/>
      <w:pgSz w:w="12240" w:h="15840" w:orient="portrait"/>
      <w:pgMar w:top="144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2B5BE3"/>
        <w:sz w:val="16"/>
        <w:szCs w:val="16"/>
      </w:rPr>
      <w:t xml:space="preserve">ELYON  ·  </w:t>
    </w:r>
    <w:r>
      <w:rPr>
        <w:color w:val="565862"/>
        <w:sz w:val="16"/>
        <w:szCs w:val="16"/>
      </w:rPr>
      <w:t xml:space="preserve">Dossiê de produto e guia de vendas  ·  pág. </w:t>
    </w:r>
    <w:r>
      <w:rPr>
        <w:color w:val="565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B5BE3"/>
      </w:rPr>
    </w:lvl>
  </w:abstractNum>
  <w:abstractNum w:abstractNumId="3" w15:restartNumberingAfterBreak="0">
    <w:multiLevelType w:val="hybridMultilevel"/>
    <w:lvl w:ilvl="0" w15:tentative="1">
      <w:start w:val="1"/>
      <w:numFmt w:val="decimal"/>
      <w:lvlText w:val="%1."/>
      <w:lvlJc w:val="left"/>
      <w:pPr>
        <w:ind w:left="540" w:hanging="300"/>
      </w:pPr>
      <w:rPr>
        <w:b/>
        <w:bCs/>
        <w:color w:val="2B5BE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9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E5E0" w:sz="8" w:space="6"/>
      </w:pBdr>
      <w:spacing w:after="200" w:before="320"/>
      <w:outlineLvl w:val="0"/>
    </w:pPr>
    <w:rPr>
      <w:rFonts w:ascii="Arial" w:cs="Arial" w:eastAsia="Arial" w:hAnsi="Arial"/>
      <w:b/>
      <w:bCs/>
      <w:color w:val="1E47C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819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Elyon — Dossiê de Produto e Guia de Vendas</dc:title>
  <dc:creator>Elyon</dc:creator>
  <cp:lastModifiedBy>Un-named</cp:lastModifiedBy>
  <cp:revision>1</cp:revision>
  <dcterms:created xsi:type="dcterms:W3CDTF">2026-06-22T19:00:42.718Z</dcterms:created>
  <dcterms:modified xsi:type="dcterms:W3CDTF">2026-06-22T19:00:42.719Z</dcterms:modified>
</cp:coreProperties>
</file>

<file path=docProps/custom.xml><?xml version="1.0" encoding="utf-8"?>
<Properties xmlns="http://schemas.openxmlformats.org/officeDocument/2006/custom-properties" xmlns:vt="http://schemas.openxmlformats.org/officeDocument/2006/docPropsVTypes"/>
</file>