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RNAflow: an integrated, reproducible R/Shiny platform for end-to-end bulk RNA-seq analysis and interpretation</w:t>
      </w:r>
    </w:p>
    <w:p>
      <w:pPr>
        <w:pStyle w:val="Author"/>
      </w:pPr>
      <w:r>
        <w:t xml:space="preserve">Karim Matmat</w:t>
      </w:r>
      <w:r>
        <w:rPr>
          <w:vertAlign w:val="superscript"/>
        </w:rPr>
        <w:t xml:space="preserve">1,*</w:t>
      </w:r>
    </w:p>
    <w:p>
      <w:pPr>
        <w:pStyle w:val="Date"/>
      </w:pPr>
      <w:r>
        <w:t xml:space="preserve">2026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rPr>
          <w:i/>
          <w:iCs/>
        </w:rPr>
        <w:t xml:space="preserve">TODO: affiliation — institution, department, city, country.</w:t>
      </w:r>
      <w:r>
        <w:t xml:space="preserve"> </w:t>
      </w:r>
      <w:r>
        <w:t xml:space="preserve">ORCID:</w:t>
      </w:r>
      <w:r>
        <w:t xml:space="preserve"> </w:t>
      </w:r>
      <w:r>
        <w:rPr>
          <w:i/>
          <w:iCs/>
        </w:rPr>
        <w:t xml:space="preserve">TODO: 0000-0000-0000-0000.</w:t>
      </w:r>
    </w:p>
    <w:p>
      <w:pPr>
        <w:pStyle w:val="BodyText"/>
      </w:pPr>
      <w:r>
        <w:rPr>
          <w:vertAlign w:val="superscript"/>
        </w:rPr>
        <w:t xml:space="preserve">*</w:t>
      </w:r>
      <w:r>
        <w:t xml:space="preserve"> </w:t>
      </w:r>
      <w:r>
        <w:t xml:space="preserve">Correspondence:</w:t>
      </w:r>
      <w:r>
        <w:t xml:space="preserve"> </w:t>
      </w:r>
      <w:r>
        <w:rPr>
          <w:i/>
          <w:iCs/>
        </w:rPr>
        <w:t xml:space="preserve">TODO: e-mail.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Bulk RNA-sequencing is a routine assay, but turning a count</w:t>
      </w:r>
      <w:r>
        <w:t xml:space="preserve"> </w:t>
      </w:r>
      <w:r>
        <w:t xml:space="preserve">matrix into biological insight still requires stitching together many</w:t>
      </w:r>
      <w:r>
        <w:t xml:space="preserve"> </w:t>
      </w:r>
      <w:r>
        <w:t xml:space="preserve">specialised tools for quality control, differential expression, dimensionality</w:t>
      </w:r>
      <w:r>
        <w:t xml:space="preserve"> </w:t>
      </w:r>
      <w:r>
        <w:t xml:space="preserve">reduction, functional enrichment, co-expression networks, and activity</w:t>
      </w:r>
      <w:r>
        <w:t xml:space="preserve"> </w:t>
      </w:r>
      <w:r>
        <w:t xml:space="preserve">inference. In practice this is done either with bespoke scripts that are hard to</w:t>
      </w:r>
      <w:r>
        <w:t xml:space="preserve"> </w:t>
      </w:r>
      <w:r>
        <w:t xml:space="preserve">reuse and audit, or with interactive web applications that are convenient but</w:t>
      </w:r>
      <w:r>
        <w:t xml:space="preserve"> </w:t>
      </w:r>
      <w:r>
        <w:t xml:space="preserve">often act as black boxes, cover only part of the workflow, and make it difficult</w:t>
      </w:r>
      <w:r>
        <w:t xml:space="preserve"> </w:t>
      </w:r>
      <w:r>
        <w:t xml:space="preserve">to recover exactly what was run. Reproducibility — regenerating a figure or a</w:t>
      </w:r>
      <w:r>
        <w:t xml:space="preserve"> </w:t>
      </w:r>
      <w:r>
        <w:t xml:space="preserve">table from the same inputs months later — is frequently an afterthought.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We present RNAflow, an open-source platform that covers the bulk</w:t>
      </w:r>
      <w:r>
        <w:t xml:space="preserve"> </w:t>
      </w:r>
      <w:r>
        <w:t xml:space="preserve">RNA-seq analysis workflow end to end — from a raw count matrix and sample</w:t>
      </w:r>
      <w:r>
        <w:t xml:space="preserve"> </w:t>
      </w:r>
      <w:r>
        <w:t xml:space="preserve">metadata through differential expression (DESeq2), sample-level exploration</w:t>
      </w:r>
      <w:r>
        <w:t xml:space="preserve"> </w:t>
      </w:r>
      <w:r>
        <w:t xml:space="preserve">(PCA / UMAP), multi-contrast comparison, functional enrichment (gene-set</w:t>
      </w:r>
      <w:r>
        <w:t xml:space="preserve"> </w:t>
      </w:r>
      <w:r>
        <w:t xml:space="preserve">enrichment and over-representation analysis), weighted gene co-expression network</w:t>
      </w:r>
      <w:r>
        <w:t xml:space="preserve"> </w:t>
      </w:r>
      <w:r>
        <w:t xml:space="preserve">analysis (WGCNA), transcription-factor and pathway activity inference</w:t>
      </w:r>
      <w:r>
        <w:t xml:space="preserve"> </w:t>
      </w:r>
      <w:r>
        <w:t xml:space="preserve">(decoupleR), per-sample gene-set signatures (GSVA), and optional AI-assisted</w:t>
      </w:r>
      <w:r>
        <w:t xml:space="preserve"> </w:t>
      </w:r>
      <w:r>
        <w:t xml:space="preserve">interpretation. RNAflow is distributed not as a monolithic script but as a</w:t>
      </w:r>
      <w:r>
        <w:t xml:space="preserve"> </w:t>
      </w:r>
      <w:r>
        <w:t xml:space="preserve">properly engineered R package: all analysis and figure logic lives in a pure,</w:t>
      </w:r>
      <w:r>
        <w:t xml:space="preserve"> </w:t>
      </w:r>
      <w:r>
        <w:t xml:space="preserve">unit-tested function layer (more than 440 automated tests), and the Shiny user</w:t>
      </w:r>
      <w:r>
        <w:t xml:space="preserve"> </w:t>
      </w:r>
      <w:r>
        <w:t xml:space="preserve">interface is a thin wrapper over that public API. Every analysis can be saved as</w:t>
      </w:r>
      <w:r>
        <w:t xml:space="preserve"> </w:t>
      </w:r>
      <w:r>
        <w:t xml:space="preserve">a portable session and exported as a runnable R script, a Methods paragraph, and</w:t>
      </w:r>
      <w:r>
        <w:t xml:space="preserve"> </w:t>
      </w:r>
      <w:r>
        <w:t xml:space="preserve">a self-contained HTML report, and the whole environment is pinned in a Docker</w:t>
      </w:r>
      <w:r>
        <w:t xml:space="preserve"> </w:t>
      </w:r>
      <w:r>
        <w:t xml:space="preserve">image, so a point-and-click exploration always maps back to a reproducible</w:t>
      </w:r>
      <w:r>
        <w:t xml:space="preserve"> </w:t>
      </w:r>
      <w:r>
        <w:t xml:space="preserve">record. We demonstrate the platform on two published human datasets of</w:t>
      </w:r>
      <w:r>
        <w:t xml:space="preserve"> </w:t>
      </w:r>
      <w:r>
        <w:t xml:space="preserve">contrasting complexity: a simple two-group glucocorticoid-treatment study and a</w:t>
      </w:r>
      <w:r>
        <w:t xml:space="preserve"> </w:t>
      </w:r>
      <w:r>
        <w:t xml:space="preserve">120-sample, eight-cancer-type subset of The Cancer Genome Atlas. We further</w:t>
      </w:r>
      <w:r>
        <w:t xml:space="preserve"> </w:t>
      </w:r>
      <w:r>
        <w:t xml:space="preserve">validate correctness and reproducibility directly — an exported analysis re-runs</w:t>
      </w:r>
      <w:r>
        <w:t xml:space="preserve"> </w:t>
      </w:r>
      <w:r>
        <w:t xml:space="preserve">bit-identically, the all-pairwise mode matches independent model fits exactly, and</w:t>
      </w:r>
      <w:r>
        <w:t xml:space="preserve"> </w:t>
      </w:r>
      <w:r>
        <w:t xml:space="preserve">results concord with an independent limma-voom analysis.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RNAflow lowers the barrier to a complete, modern bulk RNA-seq</w:t>
      </w:r>
      <w:r>
        <w:t xml:space="preserve"> </w:t>
      </w:r>
      <w:r>
        <w:t xml:space="preserve">analysis while keeping the result transparent and reproducible. It is available</w:t>
      </w:r>
      <w:r>
        <w:t xml:space="preserve"> </w:t>
      </w:r>
      <w:r>
        <w:t xml:space="preserve">under the MIT licence at</w:t>
      </w:r>
      <w:r>
        <w:t xml:space="preserve"> </w:t>
      </w:r>
      <w:hyperlink r:id="rId9">
        <w:r>
          <w:rPr>
            <w:rStyle w:val="Hyperlink"/>
          </w:rPr>
          <w:t xml:space="preserve">https://github.com/KmBioChemo/RNAflow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RNA-seq; differential expression; functional enrichment;</w:t>
      </w:r>
      <w:r>
        <w:t xml:space="preserve"> </w:t>
      </w:r>
      <w:r>
        <w:t xml:space="preserve">co-expression networks; reproducibility; Shiny; R; Bioconductor.</w:t>
      </w:r>
    </w:p>
    <w:bookmarkEnd w:id="10"/>
    <w:bookmarkStart w:id="11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RNA-sequencing is the standard method for genome-wide transcript quantification,</w:t>
      </w:r>
      <w:r>
        <w:t xml:space="preserve"> </w:t>
      </w:r>
      <w:r>
        <w:t xml:space="preserve">and it underpins a large fraction of contemporary molecular biology. A bulk</w:t>
      </w:r>
      <w:r>
        <w:t xml:space="preserve"> </w:t>
      </w:r>
      <w:r>
        <w:t xml:space="preserve">RNA-seq experiment now routinely feeds a long analytical chain: quality control</w:t>
      </w:r>
      <w:r>
        <w:t xml:space="preserve"> </w:t>
      </w:r>
      <w:r>
        <w:t xml:space="preserve">and normalisation; differential-expression testing between conditions;</w:t>
      </w:r>
      <w:r>
        <w:t xml:space="preserve"> </w:t>
      </w:r>
      <w:r>
        <w:t xml:space="preserve">low-dimensional visualisation to inspect sample structure; functional enrichment</w:t>
      </w:r>
      <w:r>
        <w:t xml:space="preserve"> </w:t>
      </w:r>
      <w:r>
        <w:t xml:space="preserve">to move from gene lists to pathways; and, increasingly, network- and</w:t>
      </w:r>
      <w:r>
        <w:t xml:space="preserve"> </w:t>
      </w:r>
      <w:r>
        <w:t xml:space="preserve">knowledge-based interpretation such as co-expression modules and inferred</w:t>
      </w:r>
      <w:r>
        <w:t xml:space="preserve"> </w:t>
      </w:r>
      <w:r>
        <w:t xml:space="preserve">regulator activity. Each of these steps is served by mature, well-validated</w:t>
      </w:r>
      <w:r>
        <w:t xml:space="preserve"> </w:t>
      </w:r>
      <w:r>
        <w:t xml:space="preserve">software — DESeq2 for differential expression</w:t>
      </w:r>
      <w:r>
        <w:t xml:space="preserve"> </w:t>
      </w:r>
      <w:r>
        <w:t xml:space="preserve">(</w:t>
      </w:r>
      <w:hyperlink w:anchor="ref-deseq2">
        <w:r>
          <w:rPr>
            <w:rStyle w:val="Hyperlink"/>
          </w:rPr>
          <w:t xml:space="preserve">Love et al. 2014</w:t>
        </w:r>
      </w:hyperlink>
      <w:r>
        <w:t xml:space="preserve">)</w:t>
      </w:r>
      <w:r>
        <w:t xml:space="preserve">, fgsea and</w:t>
      </w:r>
      <w:r>
        <w:t xml:space="preserve"> </w:t>
      </w:r>
      <w:r>
        <w:t xml:space="preserve">clusterProfiler for enrichment</w:t>
      </w:r>
      <w:r>
        <w:t xml:space="preserve"> </w:t>
      </w:r>
      <w:r>
        <w:t xml:space="preserve">(</w:t>
      </w:r>
      <w:hyperlink w:anchor="ref-fgsea">
        <w:r>
          <w:rPr>
            <w:rStyle w:val="Hyperlink"/>
          </w:rPr>
          <w:t xml:space="preserve">Korotkevich et al. 2021</w:t>
        </w:r>
      </w:hyperlink>
      <w:r>
        <w:t xml:space="preserve">;</w:t>
      </w:r>
      <w:r>
        <w:t xml:space="preserve"> </w:t>
      </w:r>
      <w:hyperlink w:anchor="ref-clusterprofiler">
        <w:r>
          <w:rPr>
            <w:rStyle w:val="Hyperlink"/>
          </w:rPr>
          <w:t xml:space="preserve">Wu et al. 2021</w:t>
        </w:r>
      </w:hyperlink>
      <w:r>
        <w:t xml:space="preserve">)</w:t>
      </w:r>
      <w:r>
        <w:t xml:space="preserve">, WGCNA for</w:t>
      </w:r>
      <w:r>
        <w:t xml:space="preserve"> </w:t>
      </w:r>
      <w:r>
        <w:t xml:space="preserve">co-expression networks</w:t>
      </w:r>
      <w:r>
        <w:t xml:space="preserve"> </w:t>
      </w:r>
      <w:r>
        <w:t xml:space="preserve">(</w:t>
      </w:r>
      <w:hyperlink w:anchor="ref-wgcna">
        <w:r>
          <w:rPr>
            <w:rStyle w:val="Hyperlink"/>
          </w:rPr>
          <w:t xml:space="preserve">Langfelder and Horvath 2008</w:t>
        </w:r>
      </w:hyperlink>
      <w:r>
        <w:t xml:space="preserve">)</w:t>
      </w:r>
      <w:r>
        <w:t xml:space="preserve">, decoupleR for regulator and pathway activity</w:t>
      </w:r>
      <w:r>
        <w:t xml:space="preserve"> </w:t>
      </w:r>
      <w:r>
        <w:t xml:space="preserve">(</w:t>
      </w:r>
      <w:hyperlink w:anchor="ref-decoupler">
        <w:r>
          <w:rPr>
            <w:rStyle w:val="Hyperlink"/>
          </w:rPr>
          <w:t xml:space="preserve">Badia-i-Mompel et al. 2022</w:t>
        </w:r>
      </w:hyperlink>
      <w:r>
        <w:t xml:space="preserve">)</w:t>
      </w:r>
      <w:r>
        <w:t xml:space="preserve">, and GSVA for per-sample signatures</w:t>
      </w:r>
      <w:r>
        <w:t xml:space="preserve"> </w:t>
      </w:r>
      <w:r>
        <w:t xml:space="preserve">(</w:t>
      </w:r>
      <w:hyperlink w:anchor="ref-gsva">
        <w:r>
          <w:rPr>
            <w:rStyle w:val="Hyperlink"/>
          </w:rPr>
          <w:t xml:space="preserve">Hänzelmann et al. 2013</w:t>
        </w:r>
      </w:hyperlink>
      <w:r>
        <w:t xml:space="preserve">)</w:t>
      </w:r>
      <w:r>
        <w:t xml:space="preserve"> </w:t>
      </w:r>
      <w:r>
        <w:t xml:space="preserve">— but assembling these</w:t>
      </w:r>
      <w:r>
        <w:t xml:space="preserve"> </w:t>
      </w:r>
      <w:r>
        <w:t xml:space="preserve">components into a coherent, correct, and repeatable analysis remains the</w:t>
      </w:r>
      <w:r>
        <w:t xml:space="preserve"> </w:t>
      </w:r>
      <w:r>
        <w:t xml:space="preserve">analyst’s responsibility, and it is where much of the practical difficulty and</w:t>
      </w:r>
      <w:r>
        <w:t xml:space="preserve"> </w:t>
      </w:r>
      <w:r>
        <w:t xml:space="preserve">irreproducibility of transcriptomics lies.</w:t>
      </w:r>
    </w:p>
    <w:p>
      <w:pPr>
        <w:pStyle w:val="BodyText"/>
      </w:pPr>
      <w:r>
        <w:t xml:space="preserve">Two broad strategies dominate in practice, and each carries a characteristic</w:t>
      </w:r>
      <w:r>
        <w:t xml:space="preserve"> </w:t>
      </w:r>
      <w:r>
        <w:t xml:space="preserve">weakness. The first is a bespoke analysis script or computational notebook.</w:t>
      </w:r>
      <w:r>
        <w:t xml:space="preserve"> </w:t>
      </w:r>
      <w:r>
        <w:t xml:space="preserve">This is maximally flexible and, if written carefully, fully reproducible; but in</w:t>
      </w:r>
      <w:r>
        <w:t xml:space="preserve"> </w:t>
      </w:r>
      <w:r>
        <w:t xml:space="preserve">reality such scripts are usually written for a single project, encode implicit</w:t>
      </w:r>
      <w:r>
        <w:t xml:space="preserve"> </w:t>
      </w:r>
      <w:r>
        <w:t xml:space="preserve">assumptions, are rarely reused, and are easy to get subtly wrong — a mismatched</w:t>
      </w:r>
      <w:r>
        <w:t xml:space="preserve"> </w:t>
      </w:r>
      <w:r>
        <w:t xml:space="preserve">sample order, an un-relevelled factor, or a silent coercion can invalidate an</w:t>
      </w:r>
      <w:r>
        <w:t xml:space="preserve"> </w:t>
      </w:r>
      <w:r>
        <w:t xml:space="preserve">entire analysis without any error being raised. Writing them also presupposes a</w:t>
      </w:r>
      <w:r>
        <w:t xml:space="preserve"> </w:t>
      </w:r>
      <w:r>
        <w:t xml:space="preserve">level of programming fluency that many bench scientists reasonably do not have.</w:t>
      </w:r>
    </w:p>
    <w:p>
      <w:pPr>
        <w:pStyle w:val="BodyText"/>
      </w:pPr>
      <w:r>
        <w:t xml:space="preserve">The second strategy is an interactive application, and a number of excellent web</w:t>
      </w:r>
      <w:r>
        <w:t xml:space="preserve"> </w:t>
      </w:r>
      <w:r>
        <w:t xml:space="preserve">and Shiny tools exist for exploratory RNA-seq analysis. iDEP provides an</w:t>
      </w:r>
      <w:r>
        <w:t xml:space="preserve"> </w:t>
      </w:r>
      <w:r>
        <w:t xml:space="preserve">integrated web workflow spanning differential expression, clustering, and pathway</w:t>
      </w:r>
      <w:r>
        <w:t xml:space="preserve"> </w:t>
      </w:r>
      <w:r>
        <w:t xml:space="preserve">analysis</w:t>
      </w:r>
      <w:r>
        <w:t xml:space="preserve"> </w:t>
      </w:r>
      <w:r>
        <w:t xml:space="preserve">(</w:t>
      </w:r>
      <w:hyperlink w:anchor="ref-idep">
        <w:r>
          <w:rPr>
            <w:rStyle w:val="Hyperlink"/>
          </w:rPr>
          <w:t xml:space="preserve">Ge et al. 2018</w:t>
        </w:r>
      </w:hyperlink>
      <w:r>
        <w:t xml:space="preserve">)</w:t>
      </w:r>
      <w:r>
        <w:t xml:space="preserve">; DEBrowser offers interactive DE and visualisation with quality</w:t>
      </w:r>
      <w:r>
        <w:t xml:space="preserve"> </w:t>
      </w:r>
      <w:r>
        <w:t xml:space="preserve">diagnostics</w:t>
      </w:r>
      <w:r>
        <w:t xml:space="preserve"> </w:t>
      </w:r>
      <w:r>
        <w:t xml:space="preserve">(</w:t>
      </w:r>
      <w:hyperlink w:anchor="ref-debrowser">
        <w:r>
          <w:rPr>
            <w:rStyle w:val="Hyperlink"/>
          </w:rPr>
          <w:t xml:space="preserve">Kucukural et al. 2019</w:t>
        </w:r>
      </w:hyperlink>
      <w:r>
        <w:t xml:space="preserve">)</w:t>
      </w:r>
      <w:r>
        <w:t xml:space="preserve">; pcaExplorer focuses on principal-component exploration</w:t>
      </w:r>
      <w:r>
        <w:t xml:space="preserve"> </w:t>
      </w:r>
      <w:r>
        <w:t xml:space="preserve">with gene-set context</w:t>
      </w:r>
      <w:r>
        <w:t xml:space="preserve"> </w:t>
      </w:r>
      <w:r>
        <w:t xml:space="preserve">(</w:t>
      </w:r>
      <w:hyperlink w:anchor="ref-pcaexplorer">
        <w:r>
          <w:rPr>
            <w:rStyle w:val="Hyperlink"/>
          </w:rPr>
          <w:t xml:space="preserve">Marini and Binder 2019</w:t>
        </w:r>
      </w:hyperlink>
      <w:r>
        <w:t xml:space="preserve">)</w:t>
      </w:r>
      <w:r>
        <w:t xml:space="preserve">; GeneTonic streamlines the joint</w:t>
      </w:r>
      <w:r>
        <w:t xml:space="preserve"> </w:t>
      </w:r>
      <w:r>
        <w:t xml:space="preserve">interpretation of DE results and enrichment</w:t>
      </w:r>
      <w:r>
        <w:t xml:space="preserve"> </w:t>
      </w:r>
      <w:r>
        <w:t xml:space="preserve">(</w:t>
      </w:r>
      <w:hyperlink w:anchor="ref-genetonic">
        <w:r>
          <w:rPr>
            <w:rStyle w:val="Hyperlink"/>
          </w:rPr>
          <w:t xml:space="preserve">Marini et al. 2021</w:t>
        </w:r>
      </w:hyperlink>
      <w:r>
        <w:t xml:space="preserve">)</w:t>
      </w:r>
      <w:r>
        <w:t xml:space="preserve">; and ExpressAnalyst</w:t>
      </w:r>
      <w:r>
        <w:t xml:space="preserve"> </w:t>
      </w:r>
      <w:r>
        <w:t xml:space="preserve">supports comprehensive expression and enrichment-network analysis across species</w:t>
      </w:r>
      <w:r>
        <w:t xml:space="preserve"> </w:t>
      </w:r>
      <w:r>
        <w:t xml:space="preserve">(</w:t>
      </w:r>
      <w:hyperlink w:anchor="ref-expressanalyst">
        <w:r>
          <w:rPr>
            <w:rStyle w:val="Hyperlink"/>
          </w:rPr>
          <w:t xml:space="preserve">Ewald et al. 2023</w:t>
        </w:r>
      </w:hyperlink>
      <w:r>
        <w:t xml:space="preserve">)</w:t>
      </w:r>
      <w:r>
        <w:t xml:space="preserve">. These tools have dramatically lowered the barrier to entry and</w:t>
      </w:r>
      <w:r>
        <w:t xml:space="preserve"> </w:t>
      </w:r>
      <w:r>
        <w:t xml:space="preserve">are widely and deservedly used. Yet they tend to share some limitations. Many are</w:t>
      </w:r>
      <w:r>
        <w:t xml:space="preserve"> </w:t>
      </w:r>
      <w:r>
        <w:t xml:space="preserve">hosted web services, which requires uploading potentially sensitive data to a</w:t>
      </w:r>
      <w:r>
        <w:t xml:space="preserve"> </w:t>
      </w:r>
      <w:r>
        <w:t xml:space="preserve">third party and ties the analysis to the availability of an external server. Most</w:t>
      </w:r>
      <w:r>
        <w:t xml:space="preserve"> </w:t>
      </w:r>
      <w:r>
        <w:t xml:space="preserve">cover a subset of the full workflow — for example differential expression and</w:t>
      </w:r>
      <w:r>
        <w:t xml:space="preserve"> </w:t>
      </w:r>
      <w:r>
        <w:t xml:space="preserve">enrichment, but not co-expression networks, activity inference, or per-sample</w:t>
      </w:r>
      <w:r>
        <w:t xml:space="preserve"> </w:t>
      </w:r>
      <w:r>
        <w:t xml:space="preserve">signatures — so an analyst must still move between tools, re-exporting and</w:t>
      </w:r>
      <w:r>
        <w:t xml:space="preserve"> </w:t>
      </w:r>
      <w:r>
        <w:t xml:space="preserve">re-importing data and losing provenance at every hop. And, crucially, the</w:t>
      </w:r>
      <w:r>
        <w:t xml:space="preserve"> </w:t>
      </w:r>
      <w:r>
        <w:t xml:space="preserve">interactive session is often difficult to turn back into an exact, re-runnable</w:t>
      </w:r>
      <w:r>
        <w:t xml:space="preserve"> </w:t>
      </w:r>
      <w:r>
        <w:t xml:space="preserve">record: the very interactivity that makes these tools accessible can make the</w:t>
      </w:r>
      <w:r>
        <w:t xml:space="preserve"> </w:t>
      </w:r>
      <w:r>
        <w:t xml:space="preserve">resulting analysis opaque.</w:t>
      </w:r>
    </w:p>
    <w:p>
      <w:pPr>
        <w:pStyle w:val="BodyText"/>
      </w:pPr>
      <w:r>
        <w:t xml:space="preserve">Underlying both strategies is a software-engineering gap. Interactive analysis</w:t>
      </w:r>
      <w:r>
        <w:t xml:space="preserve"> </w:t>
      </w:r>
      <w:r>
        <w:t xml:space="preserve">tools are frequently built as a single large Shiny application in which the</w:t>
      </w:r>
      <w:r>
        <w:t xml:space="preserve"> </w:t>
      </w:r>
      <w:r>
        <w:t xml:space="preserve">analysis logic and the user-interface code are interwoven. Such applications are</w:t>
      </w:r>
      <w:r>
        <w:t xml:space="preserve"> </w:t>
      </w:r>
      <w:r>
        <w:t xml:space="preserve">hard to test, hard to reuse outside the graphical interface, and hard to</w:t>
      </w:r>
      <w:r>
        <w:t xml:space="preserve"> </w:t>
      </w:r>
      <w:r>
        <w:t xml:space="preserve">maintain; the scientific core cannot be called from a script or covered by unit</w:t>
      </w:r>
      <w:r>
        <w:t xml:space="preserve"> </w:t>
      </w:r>
      <w:r>
        <w:t xml:space="preserve">tests independently of the UI. For a tool whose outputs inform biological</w:t>
      </w:r>
      <w:r>
        <w:t xml:space="preserve"> </w:t>
      </w:r>
      <w:r>
        <w:t xml:space="preserve">conclusions, this lack of testability is a genuine concern.</w:t>
      </w:r>
    </w:p>
    <w:p>
      <w:pPr>
        <w:pStyle w:val="BodyText"/>
      </w:pPr>
      <w:r>
        <w:t xml:space="preserve">RNAflow is designed to address these gaps simultaneously, and its design follows</w:t>
      </w:r>
      <w:r>
        <w:t xml:space="preserve"> </w:t>
      </w:r>
      <w:r>
        <w:t xml:space="preserve">three explicit principles.</w:t>
      </w:r>
      <w:r>
        <w:t xml:space="preserve"> </w:t>
      </w:r>
      <w:r>
        <w:rPr>
          <w:b/>
          <w:bCs/>
        </w:rPr>
        <w:t xml:space="preserve">(i) Breadth:</w:t>
      </w:r>
      <w:r>
        <w:t xml:space="preserve"> </w:t>
      </w:r>
      <w:r>
        <w:t xml:space="preserve">it covers the workflow from count</w:t>
      </w:r>
      <w:r>
        <w:t xml:space="preserve"> </w:t>
      </w:r>
      <w:r>
        <w:t xml:space="preserve">matrix to functional and network-level interpretation in a single, internally</w:t>
      </w:r>
      <w:r>
        <w:t xml:space="preserve"> </w:t>
      </w:r>
      <w:r>
        <w:t xml:space="preserve">consistent tool, so that enrichment, co-expression, activity inference, and</w:t>
      </w:r>
      <w:r>
        <w:t xml:space="preserve"> </w:t>
      </w:r>
      <w:r>
        <w:t xml:space="preserve">signature scoring are all available on the same loaded dataset without leaving</w:t>
      </w:r>
      <w:r>
        <w:t xml:space="preserve"> </w:t>
      </w:r>
      <w:r>
        <w:t xml:space="preserve">the application.</w:t>
      </w:r>
      <w:r>
        <w:t xml:space="preserve"> </w:t>
      </w:r>
      <w:r>
        <w:rPr>
          <w:b/>
          <w:bCs/>
        </w:rPr>
        <w:t xml:space="preserve">(ii) Reproducibility:</w:t>
      </w:r>
      <w:r>
        <w:t xml:space="preserve"> </w:t>
      </w:r>
      <w:r>
        <w:t xml:space="preserve">every analysis is a saveable session</w:t>
      </w:r>
      <w:r>
        <w:t xml:space="preserve"> </w:t>
      </w:r>
      <w:r>
        <w:t xml:space="preserve">that can be exported as a runnable script, a Methods paragraph, and a</w:t>
      </w:r>
      <w:r>
        <w:t xml:space="preserve"> </w:t>
      </w:r>
      <w:r>
        <w:t xml:space="preserve">self-contained report, and the software stack is pinned in a container, so that</w:t>
      </w:r>
      <w:r>
        <w:t xml:space="preserve"> </w:t>
      </w:r>
      <w:r>
        <w:t xml:space="preserve">the convenience of a graphical interface never comes at the cost of a transparent</w:t>
      </w:r>
      <w:r>
        <w:t xml:space="preserve"> </w:t>
      </w:r>
      <w:r>
        <w:t xml:space="preserve">record.</w:t>
      </w:r>
      <w:r>
        <w:t xml:space="preserve"> </w:t>
      </w:r>
      <w:r>
        <w:rPr>
          <w:b/>
          <w:bCs/>
        </w:rPr>
        <w:t xml:space="preserve">(iii) Software engineering:</w:t>
      </w:r>
      <w:r>
        <w:t xml:space="preserve"> </w:t>
      </w:r>
      <w:r>
        <w:t xml:space="preserve">RNAflow is built as a tested R package</w:t>
      </w:r>
      <w:r>
        <w:t xml:space="preserve"> </w:t>
      </w:r>
      <w:r>
        <w:t xml:space="preserve">with a pure, reusable function layer rather than a single monolithic</w:t>
      </w:r>
      <w:r>
        <w:t xml:space="preserve"> </w:t>
      </w:r>
      <w:r>
        <w:t xml:space="preserve">application, so its components can be scripted, tested, and maintained</w:t>
      </w:r>
      <w:r>
        <w:t xml:space="preserve"> </w:t>
      </w:r>
      <w:r>
        <w:t xml:space="preserve">independently of the interface. This article describes RNAflow’s architecture and</w:t>
      </w:r>
      <w:r>
        <w:t xml:space="preserve"> </w:t>
      </w:r>
      <w:r>
        <w:t xml:space="preserve">each analysis module in detail, sets out the design rationale and intended</w:t>
      </w:r>
      <w:r>
        <w:t xml:space="preserve"> </w:t>
      </w:r>
      <w:r>
        <w:t xml:space="preserve">audience, and demonstrates the platform on two published human datasets of</w:t>
      </w:r>
      <w:r>
        <w:t xml:space="preserve"> </w:t>
      </w:r>
      <w:r>
        <w:t xml:space="preserve">contrasting complexity.</w:t>
      </w:r>
    </w:p>
    <w:bookmarkEnd w:id="11"/>
    <w:bookmarkStart w:id="29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Figure 1 gives an overview of the platform. From a single loaded dataset — a</w:t>
      </w:r>
      <w:r>
        <w:t xml:space="preserve"> </w:t>
      </w:r>
      <w:r>
        <w:t xml:space="preserve">count matrix and sample metadata for human, mouse, or rat — RNAflow runs a suite</w:t>
      </w:r>
      <w:r>
        <w:t xml:space="preserve"> </w:t>
      </w:r>
      <w:r>
        <w:t xml:space="preserve">of interoperable analysis modules (differential expression, quality control,</w:t>
      </w:r>
      <w:r>
        <w:t xml:space="preserve"> </w:t>
      </w:r>
      <w:r>
        <w:t xml:space="preserve">sample exploration, functional enrichment, co-expression networks, activity</w:t>
      </w:r>
      <w:r>
        <w:t xml:space="preserve"> </w:t>
      </w:r>
      <w:r>
        <w:t xml:space="preserve">inference, per-sample signatures, multi-contrast comparison, and optional</w:t>
      </w:r>
      <w:r>
        <w:t xml:space="preserve"> </w:t>
      </w:r>
      <w:r>
        <w:t xml:space="preserve">AI-assisted interpretation) and exports the whole analysis as reproducible</w:t>
      </w:r>
      <w:r>
        <w:t xml:space="preserve"> </w:t>
      </w:r>
      <w:r>
        <w:t xml:space="preserve">artefacts. We describe each component in turn.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ure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Overview of RNAflow.</w:t>
      </w:r>
      <w:r>
        <w:t xml:space="preserve"> </w:t>
      </w:r>
      <w:r>
        <w:t xml:space="preserve">From a count matrix and sample metadata</w:t>
      </w:r>
      <w:r>
        <w:t xml:space="preserve"> </w:t>
      </w:r>
      <w:r>
        <w:t xml:space="preserve">(human, mouse, or rat), a single loaded dataset is analysed by nine interoperable</w:t>
      </w:r>
      <w:r>
        <w:t xml:space="preserve"> </w:t>
      </w:r>
      <w:r>
        <w:t xml:space="preserve">modules — differential expression, quality control, sample exploration</w:t>
      </w:r>
      <w:r>
        <w:t xml:space="preserve"> </w:t>
      </w:r>
      <w:r>
        <w:t xml:space="preserve">(PCA / UMAP / 3D), functional enrichment, co-expression networks (WGCNA),</w:t>
      </w:r>
      <w:r>
        <w:t xml:space="preserve"> </w:t>
      </w:r>
      <w:r>
        <w:t xml:space="preserve">regulator and pathway activity (decoupleR), per-sample signatures (GSVA),</w:t>
      </w:r>
      <w:r>
        <w:t xml:space="preserve"> </w:t>
      </w:r>
      <w:r>
        <w:t xml:space="preserve">multi-contrast comparison, and optional AI-assisted interpretation — and exported</w:t>
      </w:r>
      <w:r>
        <w:t xml:space="preserve"> </w:t>
      </w:r>
      <w:r>
        <w:t xml:space="preserve">as reproducible artefacts (a runnable R script, a Methods paragraph, a</w:t>
      </w:r>
      <w:r>
        <w:t xml:space="preserve"> </w:t>
      </w:r>
      <w:r>
        <w:t xml:space="preserve">self-contained report, a portable session, and a Docker image). Bottom row:</w:t>
      </w:r>
      <w:r>
        <w:t xml:space="preserve"> </w:t>
      </w:r>
      <w:r>
        <w:t xml:space="preserve">representative real outputs from the two demonstration datasets.</w:t>
      </w:r>
    </w:p>
    <w:bookmarkStart w:id="15" w:name="software-architecture-and-design"/>
    <w:p>
      <w:pPr>
        <w:pStyle w:val="Heading3"/>
      </w:pPr>
      <w:r>
        <w:t xml:space="preserve">Software architecture and design</w:t>
      </w:r>
    </w:p>
    <w:p>
      <w:pPr>
        <w:pStyle w:val="FirstParagraph"/>
      </w:pPr>
      <w:r>
        <w:t xml:space="preserve">RNAflow is an R package built on the Shiny web-application framework</w:t>
      </w:r>
      <w:r>
        <w:t xml:space="preserve"> </w:t>
      </w:r>
      <w:r>
        <w:t xml:space="preserve">(</w:t>
      </w:r>
      <w:hyperlink w:anchor="ref-shiny">
        <w:r>
          <w:rPr>
            <w:rStyle w:val="Hyperlink"/>
          </w:rPr>
          <w:t xml:space="preserve">Chang et al. 2024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 bslib theming system</w:t>
      </w:r>
      <w:r>
        <w:t xml:space="preserve"> </w:t>
      </w:r>
      <w:r>
        <w:t xml:space="preserve">(</w:t>
      </w:r>
      <w:hyperlink w:anchor="ref-bslib">
        <w:r>
          <w:rPr>
            <w:rStyle w:val="Hyperlink"/>
          </w:rPr>
          <w:t xml:space="preserve">Sievert et al. 2024</w:t>
        </w:r>
      </w:hyperlink>
      <w:r>
        <w:t xml:space="preserve">)</w:t>
      </w:r>
      <w:r>
        <w:t xml:space="preserve">. Its central design decision is a strict</w:t>
      </w:r>
      <w:r>
        <w:t xml:space="preserve"> </w:t>
      </w:r>
      <w:r>
        <w:t xml:space="preserve">separation between</w:t>
      </w:r>
      <w:r>
        <w:t xml:space="preserve"> </w:t>
      </w:r>
      <w:r>
        <w:rPr>
          <w:i/>
          <w:iCs/>
        </w:rPr>
        <w:t xml:space="preserve">pure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impure</w:t>
      </w:r>
      <w:r>
        <w:t xml:space="preserve"> </w:t>
      </w:r>
      <w:r>
        <w:t xml:space="preserve">code. All analysis and figure logic is</w:t>
      </w:r>
      <w:r>
        <w:t xml:space="preserve"> </w:t>
      </w:r>
      <w:r>
        <w:t xml:space="preserve">implemented as ordinary R functions that take data in and return data or graphics</w:t>
      </w:r>
      <w:r>
        <w:t xml:space="preserve"> </w:t>
      </w:r>
      <w:r>
        <w:t xml:space="preserve">out, with no dependence on the Shiny reactive runtime; by convention these are</w:t>
      </w:r>
      <w:r>
        <w:t xml:space="preserve"> </w:t>
      </w:r>
      <w:r>
        <w:t xml:space="preserve">prefixed</w:t>
      </w:r>
      <w:r>
        <w:t xml:space="preserve"> </w:t>
      </w:r>
      <w:r>
        <w:rPr>
          <w:rStyle w:val="VerbatimChar"/>
        </w:rPr>
        <w:t xml:space="preserve">read_*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validate_*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fig_*</w:t>
      </w:r>
      <w:r>
        <w:t xml:space="preserve">, and together</w:t>
      </w:r>
      <w:r>
        <w:t xml:space="preserve"> </w:t>
      </w:r>
      <w:r>
        <w:t xml:space="preserve">they form a documented public API that can be used from any R script. The</w:t>
      </w:r>
      <w:r>
        <w:t xml:space="preserve"> </w:t>
      </w:r>
      <w:r>
        <w:t xml:space="preserve">interactive layer is a set of Shiny modules (prefixed</w:t>
      </w:r>
      <w:r>
        <w:t xml:space="preserve"> </w:t>
      </w:r>
      <w:r>
        <w:rPr>
          <w:rStyle w:val="VerbatimChar"/>
        </w:rPr>
        <w:t xml:space="preserve">mod_*</w:t>
      </w:r>
      <w:r>
        <w:t xml:space="preserve">), each of which is</w:t>
      </w:r>
      <w:r>
        <w:t xml:space="preserve"> </w:t>
      </w:r>
      <w:r>
        <w:t xml:space="preserve">a thin wrapper that binds user inputs to the pure functions and renders their</w:t>
      </w:r>
      <w:r>
        <w:t xml:space="preserve"> </w:t>
      </w:r>
      <w:r>
        <w:t xml:space="preserve">outputs. No analysis is implemented inside a module.</w:t>
      </w:r>
    </w:p>
    <w:p>
      <w:pPr>
        <w:pStyle w:val="BodyText"/>
      </w:pPr>
      <w:r>
        <w:t xml:space="preserve">This architecture has three practical consequences. First, the scientific core is</w:t>
      </w:r>
      <w:r>
        <w:t xml:space="preserve"> </w:t>
      </w:r>
      <w:r>
        <w:t xml:space="preserve">independently</w:t>
      </w:r>
      <w:r>
        <w:t xml:space="preserve"> </w:t>
      </w:r>
      <w:r>
        <w:rPr>
          <w:b/>
          <w:bCs/>
        </w:rPr>
        <w:t xml:space="preserve">testable</w:t>
      </w:r>
      <w:r>
        <w:t xml:space="preserve">: the package ships more than 440 automated unit tests</w:t>
      </w:r>
      <w:r>
        <w:t xml:space="preserve"> </w:t>
      </w:r>
      <w:r>
        <w:t xml:space="preserve">(using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) that exercise the analysis and figure functions directly,</w:t>
      </w:r>
      <w:r>
        <w:t xml:space="preserve"> </w:t>
      </w:r>
      <w:r>
        <w:t xml:space="preserve">without a browser, so a regression in, say, the differential-expression wrapper</w:t>
      </w:r>
      <w:r>
        <w:t xml:space="preserve"> </w:t>
      </w:r>
      <w:r>
        <w:t xml:space="preserve">is caught by continuous integration rather than by a user. Second, the core is</w:t>
      </w:r>
      <w:r>
        <w:t xml:space="preserve"> </w:t>
      </w:r>
      <w:r>
        <w:rPr>
          <w:b/>
          <w:bCs/>
        </w:rPr>
        <w:t xml:space="preserve">reusable</w:t>
      </w:r>
      <w:r>
        <w:t xml:space="preserve">: any function shown in the interface can be called programmatically,</w:t>
      </w:r>
      <w:r>
        <w:t xml:space="preserve"> </w:t>
      </w:r>
      <w:r>
        <w:t xml:space="preserve">which is what makes the exported reproducibility scripts (below) possible.</w:t>
      </w:r>
      <w:r>
        <w:t xml:space="preserve"> </w:t>
      </w:r>
      <w:r>
        <w:t xml:space="preserve">Third, the package is</w:t>
      </w:r>
      <w:r>
        <w:t xml:space="preserve"> </w:t>
      </w:r>
      <w:r>
        <w:rPr>
          <w:b/>
          <w:bCs/>
        </w:rPr>
        <w:t xml:space="preserve">maintainable</w:t>
      </w:r>
      <w:r>
        <w:t xml:space="preserve"> </w:t>
      </w:r>
      <w:r>
        <w:t xml:space="preserve">and conforms to standard R packaging</w:t>
      </w:r>
      <w:r>
        <w:t xml:space="preserve"> </w:t>
      </w:r>
      <w:r>
        <w:t xml:space="preserve">practice — documentation is generated with</w:t>
      </w:r>
      <w:r>
        <w:t xml:space="preserve"> </w:t>
      </w:r>
      <w:r>
        <w:rPr>
          <w:rStyle w:val="VerbatimChar"/>
        </w:rPr>
        <w:t xml:space="preserve">roxygen2</w:t>
      </w:r>
      <w:r>
        <w:t xml:space="preserve">, a reference website is</w:t>
      </w:r>
      <w:r>
        <w:t xml:space="preserve"> </w:t>
      </w:r>
      <w:r>
        <w:t xml:space="preserve">built with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, and the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cleanly.</w:t>
      </w:r>
    </w:p>
    <w:p>
      <w:pPr>
        <w:pStyle w:val="BodyText"/>
      </w:pPr>
      <w:r>
        <w:t xml:space="preserve">Dependency management reflects the same discipline. Lightweight, universally</w:t>
      </w:r>
      <w:r>
        <w:t xml:space="preserve"> </w:t>
      </w:r>
      <w:r>
        <w:t xml:space="preserve">needed packages are hard dependencies, whereas heavy or specialised Bioconductor</w:t>
      </w:r>
      <w:r>
        <w:t xml:space="preserve"> </w:t>
      </w:r>
      <w:r>
        <w:t xml:space="preserve">packages (for example WGCNA, GSVA, decoupleR, and the organism annotation</w:t>
      </w:r>
      <w:r>
        <w:t xml:space="preserve"> </w:t>
      </w:r>
      <w:r>
        <w:t xml:space="preserve">databases) are optional and are guarded at the point of use with</w:t>
      </w:r>
      <w:r>
        <w:t xml:space="preserve"> </w:t>
      </w:r>
      <w:r>
        <w:rPr>
          <w:rStyle w:val="VerbatimChar"/>
        </w:rPr>
        <w:t xml:space="preserve">requireNamespace</w:t>
      </w:r>
      <w:r>
        <w:t xml:space="preserve">, so that a missing optional dependency produces an</w:t>
      </w:r>
      <w:r>
        <w:t xml:space="preserve"> </w:t>
      </w:r>
      <w:r>
        <w:t xml:space="preserve">informative, actionable message rather than an obscure failure, and the</w:t>
      </w:r>
      <w:r>
        <w:t xml:space="preserve"> </w:t>
      </w:r>
      <w:r>
        <w:t xml:space="preserve">corresponding feature degrades gracefully. The user-interface styling is served</w:t>
      </w:r>
      <w:r>
        <w:t xml:space="preserve"> </w:t>
      </w:r>
      <w:r>
        <w:t xml:space="preserve">through a single token-based stylesheet registered as a package resource, giving</w:t>
      </w:r>
      <w:r>
        <w:t xml:space="preserve"> </w:t>
      </w:r>
      <w:r>
        <w:t xml:space="preserve">a consistent, professional look without embedding styling in the R code.</w:t>
      </w:r>
    </w:p>
    <w:bookmarkEnd w:id="15"/>
    <w:bookmarkStart w:id="16" w:name="input-validation-and-identifiers"/>
    <w:p>
      <w:pPr>
        <w:pStyle w:val="Heading3"/>
      </w:pPr>
      <w:r>
        <w:t xml:space="preserve">Input, validation, and identifiers</w:t>
      </w:r>
    </w:p>
    <w:p>
      <w:pPr>
        <w:pStyle w:val="FirstParagraph"/>
      </w:pPr>
      <w:r>
        <w:t xml:space="preserve">RNAflow takes two inputs: a counts matrix (genes in rows, samples in columns,</w:t>
      </w:r>
      <w:r>
        <w:t xml:space="preserve"> </w:t>
      </w:r>
      <w:r>
        <w:t xml:space="preserve">gene identifiers in the first column) and a sample-metadata table (sample</w:t>
      </w:r>
      <w:r>
        <w:t xml:space="preserve"> </w:t>
      </w:r>
      <w:r>
        <w:t xml:space="preserve">identifiers in the first column, annotations thereafter). CSV, TSV, plain-text,</w:t>
      </w:r>
      <w:r>
        <w:t xml:space="preserve"> </w:t>
      </w:r>
      <w:r>
        <w:t xml:space="preserve">and Excel formats are accepted. Both inputs pass through strict 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validate_counts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validate_metadata</w:t>
      </w:r>
      <w:r>
        <w:t xml:space="preserve">) that fails fast with an explicit,</w:t>
      </w:r>
      <w:r>
        <w:t xml:space="preserve"> </w:t>
      </w:r>
      <w:r>
        <w:t xml:space="preserve">human-readable message on the common sources of error: non-numeric or negative</w:t>
      </w:r>
      <w:r>
        <w:t xml:space="preserve"> </w:t>
      </w:r>
      <w:r>
        <w:t xml:space="preserve">counts, duplicated or missing gene identifiers, missing values, and — most</w:t>
      </w:r>
      <w:r>
        <w:t xml:space="preserve"> </w:t>
      </w:r>
      <w:r>
        <w:t xml:space="preserve">importantly — any mismatch between the samples named in the counts matrix and</w:t>
      </w:r>
      <w:r>
        <w:t xml:space="preserve"> </w:t>
      </w:r>
      <w:r>
        <w:t xml:space="preserve">those in the metadata. Catching these at the door prevents the confusing</w:t>
      </w:r>
      <w:r>
        <w:t xml:space="preserve"> </w:t>
      </w:r>
      <w:r>
        <w:t xml:space="preserve">downstream failures that otherwise consume analyst time. Gene identifiers may be</w:t>
      </w:r>
      <w:r>
        <w:t xml:space="preserve"> </w:t>
      </w:r>
      <w:r>
        <w:t xml:space="preserve">symbols, Ensembl gene IDs (with or without version suffixes), or Entrez IDs;</w:t>
      </w:r>
      <w:r>
        <w:t xml:space="preserve"> </w:t>
      </w:r>
      <w:r>
        <w:t xml:space="preserve">where a downstream method requires a particular identifier space — for example</w:t>
      </w:r>
      <w:r>
        <w:t xml:space="preserve"> </w:t>
      </w:r>
      <w:r>
        <w:t xml:space="preserve">Entrez IDs for some enrichment databases — RNAflow performs the mapping</w:t>
      </w:r>
      <w:r>
        <w:t xml:space="preserve"> </w:t>
      </w:r>
      <w:r>
        <w:t xml:space="preserve">internally through the appropriate organism annotation package. Human, mouse, and</w:t>
      </w:r>
      <w:r>
        <w:t xml:space="preserve"> </w:t>
      </w:r>
      <w:r>
        <w:t xml:space="preserve">rat are supported.</w:t>
      </w:r>
    </w:p>
    <w:bookmarkEnd w:id="16"/>
    <w:bookmarkStart w:id="17" w:name="differential-expression"/>
    <w:p>
      <w:pPr>
        <w:pStyle w:val="Heading3"/>
      </w:pPr>
      <w:r>
        <w:t xml:space="preserve">Differential expression</w:t>
      </w:r>
    </w:p>
    <w:p>
      <w:pPr>
        <w:pStyle w:val="FirstParagraph"/>
      </w:pPr>
      <w:r>
        <w:t xml:space="preserve">Differential expression is computed with DESeq2</w:t>
      </w:r>
      <w:r>
        <w:t xml:space="preserve"> </w:t>
      </w:r>
      <w:r>
        <w:t xml:space="preserve">(</w:t>
      </w:r>
      <w:hyperlink w:anchor="ref-deseq2">
        <w:r>
          <w:rPr>
            <w:rStyle w:val="Hyperlink"/>
          </w:rPr>
          <w:t xml:space="preserve">Love et al. 2014</w:t>
        </w:r>
      </w:hyperlink>
      <w:r>
        <w:t xml:space="preserve">)</w:t>
      </w:r>
      <w:r>
        <w:t xml:space="preserve">. The user selects the</w:t>
      </w:r>
      <w:r>
        <w:t xml:space="preserve"> </w:t>
      </w:r>
      <w:r>
        <w:t xml:space="preserve">design variable and, optionally, one or more covariates to adjust for (for</w:t>
      </w:r>
      <w:r>
        <w:t xml:space="preserve"> </w:t>
      </w:r>
      <w:r>
        <w:t xml:space="preserve">example a batch or a paired-subject identifier); covariates are placed ahead of</w:t>
      </w:r>
      <w:r>
        <w:t xml:space="preserve"> </w:t>
      </w:r>
      <w:r>
        <w:t xml:space="preserve">the variable of interest in the model formula so that the reported contrast is</w:t>
      </w:r>
      <w:r>
        <w:t xml:space="preserve"> </w:t>
      </w:r>
      <w:r>
        <w:t xml:space="preserve">the conditional effect of interest. A minimum row-count filter removes</w:t>
      </w:r>
      <w:r>
        <w:t xml:space="preserve"> </w:t>
      </w:r>
      <w:r>
        <w:t xml:space="preserve">undetected genes before fitting, and independent filtering is applied at a</w:t>
      </w:r>
      <w:r>
        <w:t xml:space="preserve"> </w:t>
      </w:r>
      <w:r>
        <w:t xml:space="preserve">user-set target false-discovery rate. Effect sizes can be shrunk with the apeglm</w:t>
      </w:r>
      <w:r>
        <w:t xml:space="preserve"> </w:t>
      </w:r>
      <w:r>
        <w:t xml:space="preserve">estimator</w:t>
      </w:r>
      <w:r>
        <w:t xml:space="preserve"> </w:t>
      </w:r>
      <w:r>
        <w:t xml:space="preserve">(</w:t>
      </w:r>
      <w:hyperlink w:anchor="ref-apeglm">
        <w:r>
          <w:rPr>
            <w:rStyle w:val="Hyperlink"/>
          </w:rPr>
          <w:t xml:space="preserve">Zhu et al. 2019</w:t>
        </w:r>
      </w:hyperlink>
      <w:r>
        <w:t xml:space="preserve">)</w:t>
      </w:r>
      <w:r>
        <w:t xml:space="preserve">, with automatic fallback to the</w:t>
      </w:r>
      <w:r>
        <w:t xml:space="preserve"> </w:t>
      </w:r>
      <w:r>
        <w:rPr>
          <w:rStyle w:val="VerbatimChar"/>
        </w:rPr>
        <w:t xml:space="preserve">ashr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estimators when apeglm is unavailable or inapplicable to the requested contrast.</w:t>
      </w:r>
    </w:p>
    <w:p>
      <w:pPr>
        <w:pStyle w:val="BodyText"/>
      </w:pPr>
      <w:r>
        <w:t xml:space="preserve">A deliberate design choice is that inference and effect-size estimation are kept</w:t>
      </w:r>
      <w:r>
        <w:t xml:space="preserve"> </w:t>
      </w:r>
      <w:r>
        <w:t xml:space="preserve">separate. P-values and the Wald test statistic always come from the unshrunken</w:t>
      </w:r>
      <w:r>
        <w:t xml:space="preserve"> </w:t>
      </w:r>
      <w:r>
        <w:t xml:space="preserve">model, while shrinkage only adjusts the reported log-fold-change and its standard</w:t>
      </w:r>
      <w:r>
        <w:t xml:space="preserve"> </w:t>
      </w:r>
      <w:r>
        <w:t xml:space="preserve">error for ranking and visualisation. This guarantees a well-defined test</w:t>
      </w:r>
      <w:r>
        <w:t xml:space="preserve"> </w:t>
      </w:r>
      <w:r>
        <w:t xml:space="preserve">statistic — and therefore a valid ranking metric for downstream gene-set</w:t>
      </w:r>
      <w:r>
        <w:t xml:space="preserve"> </w:t>
      </w:r>
      <w:r>
        <w:t xml:space="preserve">enrichment — even when apeglm, which does not itself return a test statistic, is</w:t>
      </w:r>
      <w:r>
        <w:t xml:space="preserve"> </w:t>
      </w:r>
      <w:r>
        <w:t xml:space="preserve">used for the effect size.</w:t>
      </w:r>
    </w:p>
    <w:p>
      <w:pPr>
        <w:pStyle w:val="BodyText"/>
      </w:pPr>
      <w:r>
        <w:t xml:space="preserve">Beyond a single user-specified contrast, RNAflow can compute</w:t>
      </w:r>
      <w:r>
        <w:t xml:space="preserve"> </w:t>
      </w:r>
      <w:r>
        <w:rPr>
          <w:b/>
          <w:bCs/>
        </w:rPr>
        <w:t xml:space="preserve">all pairwise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comparisons</w:t>
      </w:r>
      <w:r>
        <w:t xml:space="preserve"> </w:t>
      </w:r>
      <w:r>
        <w:t xml:space="preserve">of a multi-level design variable from a single model fit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run_deseq2_all_pairs</w:t>
      </w:r>
      <w:r>
        <w:t xml:space="preserve">). Because the dispersion estimates and the fitted model</w:t>
      </w:r>
      <w:r>
        <w:t xml:space="preserve"> </w:t>
      </w:r>
      <w:r>
        <w:t xml:space="preserve">are shared across contrasts, this is far cheaper than refitting for each pair,</w:t>
      </w:r>
      <w:r>
        <w:t xml:space="preserve"> </w:t>
      </w:r>
      <w:r>
        <w:t xml:space="preserve">and it adds every pairwise result to a named contrast store for immediate</w:t>
      </w:r>
      <w:r>
        <w:t xml:space="preserve"> </w:t>
      </w:r>
      <w:r>
        <w:t xml:space="preserve">comparison. When shrinkage is requested in this mode, RNAflow uses a</w:t>
      </w:r>
      <w:r>
        <w:t xml:space="preserve"> </w:t>
      </w:r>
      <w:r>
        <w:t xml:space="preserve">contrast-compatible estimator, since apeglm requires a model coefficient matching</w:t>
      </w:r>
      <w:r>
        <w:t xml:space="preserve"> </w:t>
      </w:r>
      <w:r>
        <w:t xml:space="preserve">each specific pair. This capability is particularly useful for designs with many</w:t>
      </w:r>
      <w:r>
        <w:t xml:space="preserve"> </w:t>
      </w:r>
      <w:r>
        <w:t xml:space="preserve">groups — a multi-tissue or multi-genotype panel — where every pairwise difference</w:t>
      </w:r>
      <w:r>
        <w:t xml:space="preserve"> </w:t>
      </w:r>
      <w:r>
        <w:t xml:space="preserve">is potentially of interest.</w:t>
      </w:r>
    </w:p>
    <w:bookmarkEnd w:id="17"/>
    <w:bookmarkStart w:id="18" w:name="X1123df957b450f62e2f65efb0abb23124aee474"/>
    <w:p>
      <w:pPr>
        <w:pStyle w:val="Heading3"/>
      </w:pPr>
      <w:r>
        <w:t xml:space="preserve">Normalisation and sample-level exploration</w:t>
      </w:r>
    </w:p>
    <w:p>
      <w:pPr>
        <w:pStyle w:val="FirstParagraph"/>
      </w:pPr>
      <w:r>
        <w:t xml:space="preserve">For visualisation and clustering, counts are transformed with the</w:t>
      </w:r>
      <w:r>
        <w:t xml:space="preserve"> </w:t>
      </w:r>
      <w:r>
        <w:t xml:space="preserve">variance-stabilising transformation (VST) or the regularised logarithm from</w:t>
      </w:r>
      <w:r>
        <w:t xml:space="preserve"> </w:t>
      </w:r>
      <w:r>
        <w:t xml:space="preserve">DESeq2, with a simple log-counts-per-million option for speed on large matrices.</w:t>
      </w:r>
      <w:r>
        <w:t xml:space="preserve"> </w:t>
      </w:r>
      <w:r>
        <w:t xml:space="preserve">Samples are then projected with principal-component analysis, an interactive</w:t>
      </w:r>
      <w:r>
        <w:t xml:space="preserve"> </w:t>
      </w:r>
      <w:r>
        <w:t xml:space="preserve">three-dimensional PCA, and UMAP</w:t>
      </w:r>
      <w:r>
        <w:t xml:space="preserve"> </w:t>
      </w:r>
      <w:r>
        <w:t xml:space="preserve">(</w:t>
      </w:r>
      <w:hyperlink w:anchor="ref-umap">
        <w:r>
          <w:rPr>
            <w:rStyle w:val="Hyperlink"/>
          </w:rPr>
          <w:t xml:space="preserve">McInnes et al. 2018</w:t>
        </w:r>
      </w:hyperlink>
      <w:r>
        <w:t xml:space="preserve">)</w:t>
      </w:r>
      <w:r>
        <w:t xml:space="preserve">; each projection is computed on the most</w:t>
      </w:r>
      <w:r>
        <w:t xml:space="preserve"> </w:t>
      </w:r>
      <w:r>
        <w:t xml:space="preserve">variable genes (a user-set number), can be coloured by any metadata variable, and</w:t>
      </w:r>
      <w:r>
        <w:t xml:space="preserve"> </w:t>
      </w:r>
      <w:r>
        <w:t xml:space="preserve">offers an optional toggle for on-plot sample labels so that dense cohorts remain</w:t>
      </w:r>
      <w:r>
        <w:t xml:space="preserve"> </w:t>
      </w:r>
      <w:r>
        <w:t xml:space="preserve">legible. UMAP embeddings are seeded and the random-number state is restored, so</w:t>
      </w:r>
      <w:r>
        <w:t xml:space="preserve"> </w:t>
      </w:r>
      <w:r>
        <w:t xml:space="preserve">the projection is deterministic and reproducible across sessions. These</w:t>
      </w:r>
      <w:r>
        <w:t xml:space="preserve"> </w:t>
      </w:r>
      <w:r>
        <w:t xml:space="preserve">low-dimensional maps are the first place a mislabelled sample or an unwanted</w:t>
      </w:r>
      <w:r>
        <w:t xml:space="preserve"> </w:t>
      </w:r>
      <w:r>
        <w:t xml:space="preserve">batch effect becomes visible, before it contaminates downstream results, and in</w:t>
      </w:r>
      <w:r>
        <w:t xml:space="preserve"> </w:t>
      </w:r>
      <w:r>
        <w:t xml:space="preserve">practice they are among the most consulted views in the application.</w:t>
      </w:r>
    </w:p>
    <w:bookmarkEnd w:id="18"/>
    <w:bookmarkStart w:id="19" w:name="multi-contrast-comparison"/>
    <w:p>
      <w:pPr>
        <w:pStyle w:val="Heading3"/>
      </w:pPr>
      <w:r>
        <w:t xml:space="preserve">Multi-contrast comparison</w:t>
      </w:r>
    </w:p>
    <w:p>
      <w:pPr>
        <w:pStyle w:val="FirstParagraph"/>
      </w:pPr>
      <w:r>
        <w:t xml:space="preserve">When several contrasts have been computed — whether one at a time or through the</w:t>
      </w:r>
      <w:r>
        <w:t xml:space="preserve"> </w:t>
      </w:r>
      <w:r>
        <w:t xml:space="preserve">all-pairwise mode — RNAflow compares them directly through a named contrast</w:t>
      </w:r>
      <w:r>
        <w:t xml:space="preserve"> </w:t>
      </w:r>
      <w:r>
        <w:t xml:space="preserve">store. Comparison views include significant-gene set overlaps as Venn and UpSet</w:t>
      </w:r>
      <w:r>
        <w:t xml:space="preserve"> </w:t>
      </w:r>
      <w:r>
        <w:t xml:space="preserve">(</w:t>
      </w:r>
      <w:hyperlink w:anchor="ref-upsetr">
        <w:r>
          <w:rPr>
            <w:rStyle w:val="Hyperlink"/>
          </w:rPr>
          <w:t xml:space="preserve">Conway et al. 2017</w:t>
        </w:r>
      </w:hyperlink>
      <w:r>
        <w:t xml:space="preserve">)</w:t>
      </w:r>
      <w:r>
        <w:t xml:space="preserve"> </w:t>
      </w:r>
      <w:r>
        <w:t xml:space="preserve">diagrams, a grid of volcano plots on a common scale, a log-fold-change</w:t>
      </w:r>
      <w:r>
        <w:t xml:space="preserve"> </w:t>
      </w:r>
      <w:r>
        <w:t xml:space="preserve">heatmap of genes across contrasts, and an alluvial diagram tracing how genes move</w:t>
      </w:r>
      <w:r>
        <w:t xml:space="preserve"> </w:t>
      </w:r>
      <w:r>
        <w:t xml:space="preserve">between up-regulated, down-regulated, and non-significant states across</w:t>
      </w:r>
      <w:r>
        <w:t xml:space="preserve"> </w:t>
      </w:r>
      <w:r>
        <w:t xml:space="preserve">contrasts. Together these turn a collection of separate differential-expression</w:t>
      </w:r>
      <w:r>
        <w:t xml:space="preserve"> </w:t>
      </w:r>
      <w:r>
        <w:t xml:space="preserve">runs into a single comparative picture, which is essential for multi-condition</w:t>
      </w:r>
      <w:r>
        <w:t xml:space="preserve"> </w:t>
      </w:r>
      <w:r>
        <w:t xml:space="preserve">and time-course designs.</w:t>
      </w:r>
    </w:p>
    <w:bookmarkEnd w:id="19"/>
    <w:bookmarkStart w:id="20" w:name="functional-enrichment"/>
    <w:p>
      <w:pPr>
        <w:pStyle w:val="Heading3"/>
      </w:pPr>
      <w:r>
        <w:t xml:space="preserve">Functional enrichment</w:t>
      </w:r>
    </w:p>
    <w:p>
      <w:pPr>
        <w:pStyle w:val="FirstParagraph"/>
      </w:pPr>
      <w:r>
        <w:t xml:space="preserve">RNAflow provides both major flavours of enrichment, which answer different</w:t>
      </w:r>
      <w:r>
        <w:t xml:space="preserve"> </w:t>
      </w:r>
      <w:r>
        <w:t xml:space="preserve">questions. Gene-set enrichment analysis (GSEA) is computed over the entire ranked</w:t>
      </w:r>
      <w:r>
        <w:t xml:space="preserve"> </w:t>
      </w:r>
      <w:r>
        <w:t xml:space="preserve">gene list with fgsea</w:t>
      </w:r>
      <w:r>
        <w:t xml:space="preserve"> </w:t>
      </w:r>
      <w:r>
        <w:t xml:space="preserve">(</w:t>
      </w:r>
      <w:hyperlink w:anchor="ref-fgsea">
        <w:r>
          <w:rPr>
            <w:rStyle w:val="Hyperlink"/>
          </w:rPr>
          <w:t xml:space="preserve">Korotkevich et al. 2021</w:t>
        </w:r>
      </w:hyperlink>
      <w:r>
        <w:t xml:space="preserve">;</w:t>
      </w:r>
      <w:r>
        <w:t xml:space="preserve"> </w:t>
      </w:r>
      <w:hyperlink w:anchor="ref-gsea">
        <w:r>
          <w:rPr>
            <w:rStyle w:val="Hyperlink"/>
          </w:rPr>
          <w:t xml:space="preserve">Subramanian et al. 2005</w:t>
        </w:r>
      </w:hyperlink>
      <w:r>
        <w:t xml:space="preserve">)</w:t>
      </w:r>
      <w:r>
        <w:t xml:space="preserve">, using the Wald statistic as the ranking</w:t>
      </w:r>
      <w:r>
        <w:t xml:space="preserve"> </w:t>
      </w:r>
      <w:r>
        <w:t xml:space="preserve">metric, and asks whether a gene set is coordinately shifted toward one end of the</w:t>
      </w:r>
      <w:r>
        <w:t xml:space="preserve"> </w:t>
      </w:r>
      <w:r>
        <w:t xml:space="preserve">ranking. Over-representation analysis (ORA) tests whether the set of</w:t>
      </w:r>
      <w:r>
        <w:t xml:space="preserve"> </w:t>
      </w:r>
      <w:r>
        <w:t xml:space="preserve">significantly differentially expressed genes is enriched for a category relative</w:t>
      </w:r>
      <w:r>
        <w:t xml:space="preserve"> </w:t>
      </w:r>
      <w:r>
        <w:t xml:space="preserve">to a background universe, using clusterProfiler</w:t>
      </w:r>
      <w:r>
        <w:t xml:space="preserve"> </w:t>
      </w:r>
      <w:r>
        <w:t xml:space="preserve">(</w:t>
      </w:r>
      <w:hyperlink w:anchor="ref-clusterprofiler">
        <w:r>
          <w:rPr>
            <w:rStyle w:val="Hyperlink"/>
          </w:rPr>
          <w:t xml:space="preserve">Wu et al. 2021</w:t>
        </w:r>
      </w:hyperlink>
      <w:r>
        <w:t xml:space="preserve">)</w:t>
      </w:r>
      <w:r>
        <w:t xml:space="preserve">. Gene-set</w:t>
      </w:r>
      <w:r>
        <w:t xml:space="preserve"> </w:t>
      </w:r>
      <w:r>
        <w:t xml:space="preserve">collections include the MSigDB Hallmark and curated collections</w:t>
      </w:r>
      <w:r>
        <w:t xml:space="preserve"> </w:t>
      </w:r>
      <w:r>
        <w:t xml:space="preserve">(</w:t>
      </w:r>
      <w:hyperlink w:anchor="ref-hallmark">
        <w:r>
          <w:rPr>
            <w:rStyle w:val="Hyperlink"/>
          </w:rPr>
          <w:t xml:space="preserve">Liberzon et al. 2015</w:t>
        </w:r>
      </w:hyperlink>
      <w:r>
        <w:t xml:space="preserve">;</w:t>
      </w:r>
      <w:r>
        <w:t xml:space="preserve"> </w:t>
      </w:r>
      <w:hyperlink w:anchor="ref-msigdbr">
        <w:r>
          <w:rPr>
            <w:rStyle w:val="Hyperlink"/>
          </w:rPr>
          <w:t xml:space="preserve">Dolgalev 2022</w:t>
        </w:r>
      </w:hyperlink>
      <w:r>
        <w:t xml:space="preserve">)</w:t>
      </w:r>
      <w:r>
        <w:t xml:space="preserve">, Gene Ontology (biological process, molecular function, cellular</w:t>
      </w:r>
      <w:r>
        <w:t xml:space="preserve"> </w:t>
      </w:r>
      <w:r>
        <w:t xml:space="preserve">component), KEGG, and Reactome</w:t>
      </w:r>
      <w:r>
        <w:t xml:space="preserve"> </w:t>
      </w:r>
      <w:r>
        <w:t xml:space="preserve">(</w:t>
      </w:r>
      <w:hyperlink w:anchor="ref-reactomepa">
        <w:r>
          <w:rPr>
            <w:rStyle w:val="Hyperlink"/>
          </w:rPr>
          <w:t xml:space="preserve">Yu and He 2016</w:t>
        </w:r>
      </w:hyperlink>
      <w:r>
        <w:t xml:space="preserve">)</w:t>
      </w:r>
      <w:r>
        <w:t xml:space="preserve">. Results are presented as dot- and</w:t>
      </w:r>
      <w:r>
        <w:t xml:space="preserve"> </w:t>
      </w:r>
      <w:r>
        <w:t xml:space="preserve">bar-plots, running-enrichment curves, and both a static and an interactive</w:t>
      </w:r>
      <w:r>
        <w:t xml:space="preserve"> </w:t>
      </w:r>
      <w:r>
        <w:t xml:space="preserve">network map in which enriched terms are connected by shared-gene (Jaccard)</w:t>
      </w:r>
      <w:r>
        <w:t xml:space="preserve"> </w:t>
      </w:r>
      <w:r>
        <w:t xml:space="preserve">overlap, so that redundant terms cluster and the dominant themes become visible</w:t>
      </w:r>
      <w:r>
        <w:t xml:space="preserve"> </w:t>
      </w:r>
      <w:r>
        <w:t xml:space="preserve">at a glance.</w:t>
      </w:r>
    </w:p>
    <w:bookmarkEnd w:id="20"/>
    <w:bookmarkStart w:id="21" w:name="co-expression-networks"/>
    <w:p>
      <w:pPr>
        <w:pStyle w:val="Heading3"/>
      </w:pPr>
      <w:r>
        <w:t xml:space="preserve">Co-expression networks</w:t>
      </w:r>
    </w:p>
    <w:p>
      <w:pPr>
        <w:pStyle w:val="FirstParagraph"/>
      </w:pPr>
      <w:r>
        <w:t xml:space="preserve">Weighted gene co-expression network analysis is available through WGCNA</w:t>
      </w:r>
      <w:r>
        <w:t xml:space="preserve"> </w:t>
      </w:r>
      <w:r>
        <w:t xml:space="preserve">(</w:t>
      </w:r>
      <w:hyperlink w:anchor="ref-wgcna">
        <w:r>
          <w:rPr>
            <w:rStyle w:val="Hyperlink"/>
          </w:rPr>
          <w:t xml:space="preserve">Langfelder and Horvath 2008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RNAflow guides the user through the standard workflow: selecting the most</w:t>
      </w:r>
      <w:r>
        <w:t xml:space="preserve"> </w:t>
      </w:r>
      <w:r>
        <w:t xml:space="preserve">variable genes, choosing a soft-thresholding power by the scale-free-topology</w:t>
      </w:r>
      <w:r>
        <w:t xml:space="preserve"> </w:t>
      </w:r>
      <w:r>
        <w:t xml:space="preserve">criterion, detecting modules on a signed topological-overlap network, correlating</w:t>
      </w:r>
      <w:r>
        <w:t xml:space="preserve"> </w:t>
      </w:r>
      <w:r>
        <w:t xml:space="preserve">module eigengenes with sample traits, extracting per-module hub genes by</w:t>
      </w:r>
      <w:r>
        <w:t xml:space="preserve"> </w:t>
      </w:r>
      <w:r>
        <w:t xml:space="preserve">intramodular connectivity, and running functional enrichment on each module.</w:t>
      </w:r>
      <w:r>
        <w:t xml:space="preserve"> </w:t>
      </w:r>
      <w:r>
        <w:t xml:space="preserve">This exposes coordinated programmes of gene expression and relates them to</w:t>
      </w:r>
      <w:r>
        <w:t xml:space="preserve"> </w:t>
      </w:r>
      <w:r>
        <w:t xml:space="preserve">phenotype, complementing the gene-by-gene view of differential expression with a</w:t>
      </w:r>
      <w:r>
        <w:t xml:space="preserve"> </w:t>
      </w:r>
      <w:r>
        <w:t xml:space="preserve">systems-level one.</w:t>
      </w:r>
    </w:p>
    <w:bookmarkEnd w:id="21"/>
    <w:bookmarkStart w:id="22" w:name="regulator-and-pathway-activity"/>
    <w:p>
      <w:pPr>
        <w:pStyle w:val="Heading3"/>
      </w:pPr>
      <w:r>
        <w:t xml:space="preserve">Regulator and pathway activity</w:t>
      </w:r>
    </w:p>
    <w:p>
      <w:pPr>
        <w:pStyle w:val="FirstParagraph"/>
      </w:pPr>
      <w:r>
        <w:t xml:space="preserve">RNAflow infers upstream activity with decoupleR</w:t>
      </w:r>
      <w:r>
        <w:t xml:space="preserve"> </w:t>
      </w:r>
      <w:r>
        <w:t xml:space="preserve">(</w:t>
      </w:r>
      <w:hyperlink w:anchor="ref-decoupler">
        <w:r>
          <w:rPr>
            <w:rStyle w:val="Hyperlink"/>
          </w:rPr>
          <w:t xml:space="preserve">Badia-i-Mompel et al. 2022</w:t>
        </w:r>
      </w:hyperlink>
      <w:r>
        <w:t xml:space="preserve">)</w:t>
      </w:r>
      <w:r>
        <w:t xml:space="preserve">, estimating</w:t>
      </w:r>
      <w:r>
        <w:t xml:space="preserve"> </w:t>
      </w:r>
      <w:r>
        <w:t xml:space="preserve">transcription-factor activity from the CollecTRI regulon</w:t>
      </w:r>
      <w:r>
        <w:t xml:space="preserve"> </w:t>
      </w:r>
      <w:r>
        <w:t xml:space="preserve">(</w:t>
      </w:r>
      <w:hyperlink w:anchor="ref-collectri">
        <w:r>
          <w:rPr>
            <w:rStyle w:val="Hyperlink"/>
          </w:rPr>
          <w:t xml:space="preserve">Müller-Dott et al. 2023</w:t>
        </w:r>
      </w:hyperlink>
      <w:r>
        <w:t xml:space="preserve">)</w:t>
      </w:r>
      <w:r>
        <w:t xml:space="preserve"> </w:t>
      </w:r>
      <w:r>
        <w:t xml:space="preserve">and pathway</w:t>
      </w:r>
      <w:r>
        <w:t xml:space="preserve"> </w:t>
      </w:r>
      <w:r>
        <w:t xml:space="preserve">activity with PROGENy</w:t>
      </w:r>
      <w:r>
        <w:t xml:space="preserve"> </w:t>
      </w:r>
      <w:r>
        <w:t xml:space="preserve">(</w:t>
      </w:r>
      <w:hyperlink w:anchor="ref-progeny">
        <w:r>
          <w:rPr>
            <w:rStyle w:val="Hyperlink"/>
          </w:rPr>
          <w:t xml:space="preserve">Schubert et al. 2018</w:t>
        </w:r>
      </w:hyperlink>
      <w:r>
        <w:t xml:space="preserve">)</w:t>
      </w:r>
      <w:r>
        <w:t xml:space="preserve">; the underlying prior-knowledge networks are</w:t>
      </w:r>
      <w:r>
        <w:t xml:space="preserve"> </w:t>
      </w:r>
      <w:r>
        <w:t xml:space="preserve">retrieved through OmniPath</w:t>
      </w:r>
      <w:r>
        <w:t xml:space="preserve"> </w:t>
      </w:r>
      <w:r>
        <w:t xml:space="preserve">(</w:t>
      </w:r>
      <w:hyperlink w:anchor="ref-omnipath">
        <w:r>
          <w:rPr>
            <w:rStyle w:val="Hyperlink"/>
          </w:rPr>
          <w:t xml:space="preserve">Türei et al. 2021</w:t>
        </w:r>
      </w:hyperlink>
      <w:r>
        <w:t xml:space="preserve">)</w:t>
      </w:r>
      <w:r>
        <w:t xml:space="preserve">. Activity is estimated from the DE</w:t>
      </w:r>
      <w:r>
        <w:t xml:space="preserve"> </w:t>
      </w:r>
      <w:r>
        <w:t xml:space="preserve">statistics with a univariate linear model and displayed as ranked activity</w:t>
      </w:r>
      <w:r>
        <w:t xml:space="preserve"> </w:t>
      </w:r>
      <w:r>
        <w:t xml:space="preserve">scores. Because the prior-knowledge networks are fetched from a live resource,</w:t>
      </w:r>
      <w:r>
        <w:t xml:space="preserve"> </w:t>
      </w:r>
      <w:r>
        <w:t xml:space="preserve">this module is written to degrade gracefully and to report the underlying cause</w:t>
      </w:r>
      <w:r>
        <w:t xml:space="preserve"> </w:t>
      </w:r>
      <w:r>
        <w:t xml:space="preserve">when a network cannot be retrieved, rather than failing silently. Activity</w:t>
      </w:r>
      <w:r>
        <w:t xml:space="preserve"> </w:t>
      </w:r>
      <w:r>
        <w:t xml:space="preserve">inference shifts interpretation from individual differentially expressed genes to</w:t>
      </w:r>
      <w:r>
        <w:t xml:space="preserve"> </w:t>
      </w:r>
      <w:r>
        <w:t xml:space="preserve">the regulators and pathways that plausibly drive them.</w:t>
      </w:r>
    </w:p>
    <w:bookmarkEnd w:id="22"/>
    <w:bookmarkStart w:id="23" w:name="per-sample-signatures"/>
    <w:p>
      <w:pPr>
        <w:pStyle w:val="Heading3"/>
      </w:pPr>
      <w:r>
        <w:t xml:space="preserve">Per-sample signatures</w:t>
      </w:r>
    </w:p>
    <w:p>
      <w:pPr>
        <w:pStyle w:val="FirstParagraph"/>
      </w:pPr>
      <w:r>
        <w:t xml:space="preserve">Gene-set variation analysis</w:t>
      </w:r>
      <w:r>
        <w:t xml:space="preserve"> </w:t>
      </w:r>
      <w:r>
        <w:t xml:space="preserve">(</w:t>
      </w:r>
      <w:hyperlink w:anchor="ref-gsva">
        <w:r>
          <w:rPr>
            <w:rStyle w:val="Hyperlink"/>
          </w:rPr>
          <w:t xml:space="preserve">Hänzelmann et al. 2013</w:t>
        </w:r>
      </w:hyperlink>
      <w:r>
        <w:t xml:space="preserve">)</w:t>
      </w:r>
      <w:r>
        <w:t xml:space="preserve"> </w:t>
      </w:r>
      <w:r>
        <w:t xml:space="preserve">scores every sample against a chosen gene-set</w:t>
      </w:r>
      <w:r>
        <w:t xml:space="preserve"> </w:t>
      </w:r>
      <w:r>
        <w:t xml:space="preserve">collection, producing a sets-by-samples signature matrix (via the GSVA or ssGSEA</w:t>
      </w:r>
      <w:r>
        <w:t xml:space="preserve"> </w:t>
      </w:r>
      <w:r>
        <w:t xml:space="preserve">method) that is displayed as an annotated heatmap. Counts are first mapped to</w:t>
      </w:r>
      <w:r>
        <w:t xml:space="preserve"> </w:t>
      </w:r>
      <w:r>
        <w:t xml:space="preserve">gene symbols so that projects using Ensembl or Entrez identifiers score</w:t>
      </w:r>
      <w:r>
        <w:t xml:space="preserve"> </w:t>
      </w:r>
      <w:r>
        <w:t xml:space="preserve">correctly. Unlike contrast-based enrichment, which summarises a comparison, this</w:t>
      </w:r>
      <w:r>
        <w:t xml:space="preserve"> </w:t>
      </w:r>
      <w:r>
        <w:t xml:space="preserve">yields a per-sample activity profile suitable for stratifying heterogeneous</w:t>
      </w:r>
      <w:r>
        <w:t xml:space="preserve"> </w:t>
      </w:r>
      <w:r>
        <w:t xml:space="preserve">cohorts, relating signature activity to continuous phenotypes, or identifying</w:t>
      </w:r>
      <w:r>
        <w:t xml:space="preserve"> </w:t>
      </w:r>
      <w:r>
        <w:t xml:space="preserve">outliers.</w:t>
      </w:r>
    </w:p>
    <w:bookmarkEnd w:id="23"/>
    <w:bookmarkStart w:id="24" w:name="ai-assisted-interpretation"/>
    <w:p>
      <w:pPr>
        <w:pStyle w:val="Heading3"/>
      </w:pPr>
      <w:r>
        <w:t xml:space="preserve">AI-assisted interpretation</w:t>
      </w:r>
    </w:p>
    <w:p>
      <w:pPr>
        <w:pStyle w:val="FirstParagraph"/>
      </w:pPr>
      <w:r>
        <w:t xml:space="preserve">As an optional aid, RNAflow can assemble a structured prompt from a contrast —</w:t>
      </w:r>
      <w:r>
        <w:t xml:space="preserve"> </w:t>
      </w:r>
      <w:r>
        <w:t xml:space="preserve">its top up- and down-regulated genes and its most enriched terms — and query a</w:t>
      </w:r>
      <w:r>
        <w:t xml:space="preserve"> </w:t>
      </w:r>
      <w:r>
        <w:t xml:space="preserve">large-language-model API to draft a narrative interpretation. This feature is</w:t>
      </w:r>
      <w:r>
        <w:t xml:space="preserve"> </w:t>
      </w:r>
      <w:r>
        <w:t xml:space="preserve">strictly opt-in and privacy-preserving: it is inactive unless the user supplies</w:t>
      </w:r>
      <w:r>
        <w:t xml:space="preserve"> </w:t>
      </w:r>
      <w:r>
        <w:t xml:space="preserve">their own API key, which is held only in memory for the session and is never</w:t>
      </w:r>
      <w:r>
        <w:t xml:space="preserve"> </w:t>
      </w:r>
      <w:r>
        <w:t xml:space="preserve">stored, logged, or committed, and no data leave the machine unless the user</w:t>
      </w:r>
      <w:r>
        <w:t xml:space="preserve"> </w:t>
      </w:r>
      <w:r>
        <w:t xml:space="preserve">explicitly runs the feature. Its output is presented as a hypothesis-generating</w:t>
      </w:r>
      <w:r>
        <w:t xml:space="preserve"> </w:t>
      </w:r>
      <w:r>
        <w:t xml:space="preserve">draft to be verified against the primary results and the literature, never as an</w:t>
      </w:r>
      <w:r>
        <w:t xml:space="preserve"> </w:t>
      </w:r>
      <w:r>
        <w:t xml:space="preserve">authoritative conclusion. The intent is to help a user orient quickly in an</w:t>
      </w:r>
      <w:r>
        <w:t xml:space="preserve"> </w:t>
      </w:r>
      <w:r>
        <w:t xml:space="preserve">unfamiliar biological area, not to replace expert interpretation.</w:t>
      </w:r>
    </w:p>
    <w:bookmarkEnd w:id="24"/>
    <w:bookmarkStart w:id="25" w:name="reproducibility-and-export"/>
    <w:p>
      <w:pPr>
        <w:pStyle w:val="Heading3"/>
      </w:pPr>
      <w:r>
        <w:t xml:space="preserve">Reproducibility and export</w:t>
      </w:r>
    </w:p>
    <w:p>
      <w:pPr>
        <w:pStyle w:val="FirstParagraph"/>
      </w:pPr>
      <w:r>
        <w:t xml:space="preserve">Reproducibility is a first-class feature rather than an add-on. A complete</w:t>
      </w:r>
      <w:r>
        <w:t xml:space="preserve"> </w:t>
      </w:r>
      <w:r>
        <w:t xml:space="preserve">analysis — inputs, DE results, the contrast store, enrichment, signatures,</w:t>
      </w:r>
      <w:r>
        <w:t xml:space="preserve"> </w:t>
      </w:r>
      <w:r>
        <w:t xml:space="preserve">activity, and all settings — can be saved to a single portable session file and</w:t>
      </w:r>
      <w:r>
        <w:t xml:space="preserve"> </w:t>
      </w:r>
      <w:r>
        <w:t xml:space="preserve">reopened later, with backward compatibility so that sessions saved by earlier</w:t>
      </w:r>
      <w:r>
        <w:t xml:space="preserve"> </w:t>
      </w:r>
      <w:r>
        <w:t xml:space="preserve">versions still load. From any analysis, RNAflow generates three complementary</w:t>
      </w:r>
      <w:r>
        <w:t xml:space="preserve"> </w:t>
      </w:r>
      <w:r>
        <w:t xml:space="preserve">artefacts. A</w:t>
      </w:r>
      <w:r>
        <w:t xml:space="preserve"> </w:t>
      </w:r>
      <w:r>
        <w:rPr>
          <w:b/>
          <w:bCs/>
        </w:rPr>
        <w:t xml:space="preserve">runnable R script</w:t>
      </w:r>
      <w:r>
        <w:t xml:space="preserve"> </w:t>
      </w:r>
      <w:r>
        <w:t xml:space="preserve">reproduces the pipeline using the package’s</w:t>
      </w:r>
      <w:r>
        <w:t xml:space="preserve"> </w:t>
      </w:r>
      <w:r>
        <w:t xml:space="preserve">public functions, so the interactive analysis can be re-executed, version</w:t>
      </w:r>
      <w:r>
        <w:t xml:space="preserve"> </w:t>
      </w:r>
      <w:r>
        <w:t xml:space="preserve">controlled, or adapted without the interface. A</w:t>
      </w:r>
      <w:r>
        <w:t xml:space="preserve"> </w:t>
      </w:r>
      <w:r>
        <w:rPr>
          <w:b/>
          <w:bCs/>
        </w:rPr>
        <w:t xml:space="preserve">Methods paragraph</w:t>
      </w:r>
      <w:r>
        <w:t xml:space="preserve"> </w:t>
      </w:r>
      <w:r>
        <w:t xml:space="preserve">summarises</w:t>
      </w:r>
      <w:r>
        <w:t xml:space="preserve"> </w:t>
      </w:r>
      <w:r>
        <w:t xml:space="preserve">the analysis in prose suitable for a manuscript, with the software versions used.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self-contained HTML report</w:t>
      </w:r>
      <w:r>
        <w:t xml:space="preserve"> </w:t>
      </w:r>
      <w:r>
        <w:t xml:space="preserve">embeds the figures and results in a single</w:t>
      </w:r>
      <w:r>
        <w:t xml:space="preserve"> </w:t>
      </w:r>
      <w:r>
        <w:t xml:space="preserve">file that requires no external renderer such as pandoc or a LaTeX installation,</w:t>
      </w:r>
      <w:r>
        <w:t xml:space="preserve"> </w:t>
      </w:r>
      <w:r>
        <w:t xml:space="preserve">so it can be shared with collaborators directly. To pin the computational</w:t>
      </w:r>
      <w:r>
        <w:t xml:space="preserve"> </w:t>
      </w:r>
      <w:r>
        <w:t xml:space="preserve">environment itself, the repository ships a Docker image built on the official</w:t>
      </w:r>
      <w:r>
        <w:t xml:space="preserve"> </w:t>
      </w:r>
      <w:r>
        <w:t xml:space="preserve">Bioconductor base image (R 4.5 / Bioconductor 3.22), so that the heavy dependency</w:t>
      </w:r>
      <w:r>
        <w:t xml:space="preserve"> </w:t>
      </w:r>
      <w:r>
        <w:t xml:space="preserve">stack resolves identically on any machine; an optional package lockfile can pin</w:t>
      </w:r>
      <w:r>
        <w:t xml:space="preserve"> </w:t>
      </w:r>
      <w:r>
        <w:t xml:space="preserve">exact versions on top for byte-level reproducibility.</w:t>
      </w:r>
    </w:p>
    <w:bookmarkEnd w:id="25"/>
    <w:bookmarkStart w:id="26" w:name="figures-and-bundled-data"/>
    <w:p>
      <w:pPr>
        <w:pStyle w:val="Heading3"/>
      </w:pPr>
      <w:r>
        <w:t xml:space="preserve">Figures and bundled data</w:t>
      </w:r>
    </w:p>
    <w:p>
      <w:pPr>
        <w:pStyle w:val="FirstParagraph"/>
      </w:pPr>
      <w:r>
        <w:t xml:space="preserve">Every figure function offers an</w:t>
      </w:r>
      <w:r>
        <w:t xml:space="preserve"> </w:t>
      </w:r>
      <w:r>
        <w:rPr>
          <w:i/>
          <w:iCs/>
        </w:rPr>
        <w:t xml:space="preserve">exploration</w:t>
      </w:r>
      <w:r>
        <w:t xml:space="preserve"> </w:t>
      </w:r>
      <w:r>
        <w:t xml:space="preserve">mode for interactive work and a</w:t>
      </w:r>
      <w:r>
        <w:t xml:space="preserve"> </w:t>
      </w:r>
      <w:r>
        <w:rPr>
          <w:i/>
          <w:iCs/>
        </w:rPr>
        <w:t xml:space="preserve">publication</w:t>
      </w:r>
      <w:r>
        <w:t xml:space="preserve"> </w:t>
      </w:r>
      <w:r>
        <w:t xml:space="preserve">mode with strict, compact styling — a small serif-free font,</w:t>
      </w:r>
      <w:r>
        <w:t xml:space="preserve"> </w:t>
      </w:r>
      <w:r>
        <w:t xml:space="preserve">minimal chart junk, and defined dimensions — ready to drop into a manuscript</w:t>
      </w:r>
      <w:r>
        <w:t xml:space="preserve"> </w:t>
      </w:r>
      <w:r>
        <w:t xml:space="preserve">panel. Interactive figures share a common plotly styling</w:t>
      </w:r>
      <w:r>
        <w:t xml:space="preserve"> </w:t>
      </w:r>
      <w:r>
        <w:t xml:space="preserve">(</w:t>
      </w:r>
      <w:hyperlink w:anchor="ref-plotly">
        <w:r>
          <w:rPr>
            <w:rStyle w:val="Hyperlink"/>
          </w:rPr>
          <w:t xml:space="preserve">Sievert 2020</w:t>
        </w:r>
      </w:hyperlink>
      <w:r>
        <w:t xml:space="preserve">)</w:t>
      </w:r>
      <w:r>
        <w:t xml:space="preserve"> </w:t>
      </w:r>
      <w:r>
        <w:t xml:space="preserve">for a</w:t>
      </w:r>
      <w:r>
        <w:t xml:space="preserve"> </w:t>
      </w:r>
      <w:r>
        <w:t xml:space="preserve">consistent look, and static figures build on ggplot2</w:t>
      </w:r>
      <w:r>
        <w:t xml:space="preserve"> </w:t>
      </w:r>
      <w:r>
        <w:t xml:space="preserve">(</w:t>
      </w:r>
      <w:hyperlink w:anchor="ref-ggplot2">
        <w:r>
          <w:rPr>
            <w:rStyle w:val="Hyperlink"/>
          </w:rPr>
          <w:t xml:space="preserve">Wickham 2016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ComplexHeatmap</w:t>
      </w:r>
      <w:r>
        <w:t xml:space="preserve"> </w:t>
      </w:r>
      <w:r>
        <w:t xml:space="preserve">(</w:t>
      </w:r>
      <w:hyperlink w:anchor="ref-complexheatmap">
        <w:r>
          <w:rPr>
            <w:rStyle w:val="Hyperlink"/>
          </w:rPr>
          <w:t xml:space="preserve">Gu et al. 2016</w:t>
        </w:r>
      </w:hyperlink>
      <w:r>
        <w:t xml:space="preserve">)</w:t>
      </w:r>
      <w:r>
        <w:t xml:space="preserve">, with export to vector (PDF, SVG) and raster</w:t>
      </w:r>
      <w:r>
        <w:t xml:space="preserve"> </w:t>
      </w:r>
      <w:r>
        <w:t xml:space="preserve">(PNG) formats. Two real, published human datasets are bundled for demonstration</w:t>
      </w:r>
      <w:r>
        <w:t xml:space="preserve"> </w:t>
      </w:r>
      <w:r>
        <w:t xml:space="preserve">and testing, and each is reproducibly regenerated from its Bioconductor source by</w:t>
      </w:r>
      <w:r>
        <w:t xml:space="preserve"> </w:t>
      </w:r>
      <w:r>
        <w:t xml:space="preserve">a script in the repository: the</w:t>
      </w:r>
      <w:r>
        <w:t xml:space="preserve"> </w:t>
      </w:r>
      <w:r>
        <w:rPr>
          <w:b/>
          <w:bCs/>
        </w:rPr>
        <w:t xml:space="preserve">airway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w:hyperlink w:anchor="ref-airway">
        <w:r>
          <w:rPr>
            <w:rStyle w:val="Hyperlink"/>
          </w:rPr>
          <w:t xml:space="preserve">Himes et al. 2014</w:t>
        </w:r>
      </w:hyperlink>
      <w:r>
        <w:t xml:space="preserve">)</w:t>
      </w:r>
      <w:r>
        <w:t xml:space="preserve">, a simple two-group</w:t>
      </w:r>
      <w:r>
        <w:t xml:space="preserve"> </w:t>
      </w:r>
      <w:r>
        <w:t xml:space="preserve">glucocorticoid-treatment study, and a</w:t>
      </w:r>
      <w:r>
        <w:t xml:space="preserve"> </w:t>
      </w:r>
      <w:r>
        <w:rPr>
          <w:b/>
          <w:bCs/>
        </w:rPr>
        <w:t xml:space="preserve">TCGA pan-cancer</w:t>
      </w:r>
      <w:r>
        <w:t xml:space="preserve"> </w:t>
      </w:r>
      <w:r>
        <w:t xml:space="preserve">subset</w:t>
      </w:r>
      <w:r>
        <w:t xml:space="preserve"> </w:t>
      </w:r>
      <w:r>
        <w:t xml:space="preserve">(</w:t>
      </w:r>
      <w:hyperlink w:anchor="ref-gse62944">
        <w:r>
          <w:rPr>
            <w:rStyle w:val="Hyperlink"/>
          </w:rPr>
          <w:t xml:space="preserve">Rahman et al. 2015</w:t>
        </w:r>
      </w:hyperlink>
      <w:r>
        <w:t xml:space="preserve">;</w:t>
      </w:r>
      <w:r>
        <w:t xml:space="preserve"> </w:t>
      </w:r>
      <w:hyperlink w:anchor="ref-tcga">
        <w:r>
          <w:rPr>
            <w:rStyle w:val="Hyperlink"/>
          </w:rPr>
          <w:t xml:space="preserve">Weinstein et al. 2013</w:t>
        </w:r>
      </w:hyperlink>
      <w:r>
        <w:t xml:space="preserve">)</w:t>
      </w:r>
      <w:r>
        <w:t xml:space="preserve">, a complex eight-cancer-type cohort described below.</w:t>
      </w:r>
    </w:p>
    <w:p>
      <w:pPr>
        <w:pStyle w:val="BodyText"/>
      </w:pPr>
      <w:r>
        <w:rPr>
          <w:b/>
          <w:bCs/>
        </w:rPr>
        <w:t xml:space="preserve">Table 1</w:t>
      </w:r>
      <w:r>
        <w:t xml:space="preserve"> </w:t>
      </w:r>
      <w:r>
        <w:t xml:space="preserve">summarises the analysis modules, the methods and packages behind</w:t>
      </w:r>
      <w:r>
        <w:t xml:space="preserve"> </w:t>
      </w:r>
      <w:r>
        <w:t xml:space="preserve">them, and their principal outputs.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RNAflow analysis modules.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Method / package</w:t>
            </w:r>
          </w:p>
        </w:tc>
        <w:tc>
          <w:tcPr/>
          <w:p>
            <w:pPr>
              <w:pStyle w:val="Compact"/>
            </w:pPr>
            <w:r>
              <w:t xml:space="preserve">Principal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expression</w:t>
            </w:r>
          </w:p>
        </w:tc>
        <w:tc>
          <w:tcPr/>
          <w:p>
            <w:pPr>
              <w:pStyle w:val="Compact"/>
            </w:pPr>
            <w:r>
              <w:t xml:space="preserve">DESeq2, apeglm</w:t>
            </w:r>
            <w:r>
              <w:t xml:space="preserve"> </w:t>
            </w:r>
            <w:r>
              <w:t xml:space="preserve">(</w:t>
            </w:r>
            <w:hyperlink w:anchor="ref-deseq2">
              <w:r>
                <w:rPr>
                  <w:rStyle w:val="Hyperlink"/>
                </w:rPr>
                <w:t xml:space="preserve">Love et al. 2014</w:t>
              </w:r>
            </w:hyperlink>
            <w:r>
              <w:t xml:space="preserve">;</w:t>
            </w:r>
            <w:r>
              <w:t xml:space="preserve"> </w:t>
            </w:r>
            <w:hyperlink w:anchor="ref-apeglm">
              <w:r>
                <w:rPr>
                  <w:rStyle w:val="Hyperlink"/>
                </w:rPr>
                <w:t xml:space="preserve">Zhu et al. 2019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 table; volcano; all-pairwise contrasts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VST / rlog / logCPM</w:t>
            </w:r>
            <w:r>
              <w:t xml:space="preserve"> </w:t>
            </w:r>
            <w:r>
              <w:t xml:space="preserve">(</w:t>
            </w:r>
            <w:hyperlink w:anchor="ref-deseq2">
              <w:r>
                <w:rPr>
                  <w:rStyle w:val="Hyperlink"/>
                </w:rPr>
                <w:t xml:space="preserve">Love et al. 2014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transformed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overview</w:t>
            </w:r>
          </w:p>
        </w:tc>
        <w:tc>
          <w:tcPr/>
          <w:p>
            <w:pPr>
              <w:pStyle w:val="Compact"/>
            </w:pPr>
            <w:r>
              <w:t xml:space="preserve">PCA, UMAP</w:t>
            </w:r>
            <w:r>
              <w:t xml:space="preserve"> </w:t>
            </w:r>
            <w:r>
              <w:t xml:space="preserve">(</w:t>
            </w:r>
            <w:hyperlink w:anchor="ref-umap">
              <w:r>
                <w:rPr>
                  <w:rStyle w:val="Hyperlink"/>
                </w:rPr>
                <w:t xml:space="preserve">McInnes et al. 2018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2D/3D PCA, UMAP; QC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Multi-contrast</w:t>
            </w:r>
          </w:p>
        </w:tc>
        <w:tc>
          <w:tcPr/>
          <w:p>
            <w:pPr>
              <w:pStyle w:val="Compact"/>
            </w:pPr>
            <w:r>
              <w:t xml:space="preserve">contrast store</w:t>
            </w:r>
          </w:p>
        </w:tc>
        <w:tc>
          <w:tcPr/>
          <w:p>
            <w:pPr>
              <w:pStyle w:val="Compact"/>
            </w:pPr>
            <w:r>
              <w:t xml:space="preserve">Venn/UpSet, volcano grid, LFC heatmap, alluvial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(GSEA)</w:t>
            </w:r>
          </w:p>
        </w:tc>
        <w:tc>
          <w:tcPr/>
          <w:p>
            <w:pPr>
              <w:pStyle w:val="Compact"/>
            </w:pPr>
            <w:r>
              <w:t xml:space="preserve">fgsea</w:t>
            </w:r>
            <w:r>
              <w:t xml:space="preserve"> </w:t>
            </w:r>
            <w:r>
              <w:t xml:space="preserve">(</w:t>
            </w:r>
            <w:hyperlink w:anchor="ref-fgsea">
              <w:r>
                <w:rPr>
                  <w:rStyle w:val="Hyperlink"/>
                </w:rPr>
                <w:t xml:space="preserve">Korotkevich et al. 2021</w:t>
              </w:r>
            </w:hyperlink>
            <w:r>
              <w:t xml:space="preserve">;</w:t>
            </w:r>
            <w:r>
              <w:t xml:space="preserve"> </w:t>
            </w:r>
            <w:hyperlink w:anchor="ref-gsea">
              <w:r>
                <w:rPr>
                  <w:rStyle w:val="Hyperlink"/>
                </w:rPr>
                <w:t xml:space="preserve">Subramanian et al. 2005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dotplot, running-enrichment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(ORA)</w:t>
            </w:r>
          </w:p>
        </w:tc>
        <w:tc>
          <w:tcPr/>
          <w:p>
            <w:pPr>
              <w:pStyle w:val="Compact"/>
            </w:pPr>
            <w:r>
              <w:t xml:space="preserve">clusterProfiler</w:t>
            </w:r>
            <w:r>
              <w:t xml:space="preserve"> </w:t>
            </w:r>
            <w:r>
              <w:t xml:space="preserve">(</w:t>
            </w:r>
            <w:hyperlink w:anchor="ref-clusterprofiler">
              <w:r>
                <w:rPr>
                  <w:rStyle w:val="Hyperlink"/>
                </w:rPr>
                <w:t xml:space="preserve">Wu et al. 2021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bar/dotplot; term-overlap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Co-expression</w:t>
            </w:r>
          </w:p>
        </w:tc>
        <w:tc>
          <w:tcPr/>
          <w:p>
            <w:pPr>
              <w:pStyle w:val="Compact"/>
            </w:pPr>
            <w:r>
              <w:t xml:space="preserve">WGCNA</w:t>
            </w:r>
            <w:r>
              <w:t xml:space="preserve"> </w:t>
            </w:r>
            <w:r>
              <w:t xml:space="preserve">(</w:t>
            </w:r>
            <w:hyperlink w:anchor="ref-wgcna">
              <w:r>
                <w:rPr>
                  <w:rStyle w:val="Hyperlink"/>
                </w:rPr>
                <w:t xml:space="preserve">Langfelder and Horvath 2008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modules, module–trait, hub 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decoupleR</w:t>
            </w:r>
            <w:r>
              <w:t xml:space="preserve"> </w:t>
            </w:r>
            <w:r>
              <w:t xml:space="preserve">(</w:t>
            </w:r>
            <w:hyperlink w:anchor="ref-decoupler">
              <w:r>
                <w:rPr>
                  <w:rStyle w:val="Hyperlink"/>
                </w:rPr>
                <w:t xml:space="preserve">Badia-i-Mompel et al. 2022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TF (CollecTRI) &amp; pathway (PROGENy)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Signatures</w:t>
            </w:r>
          </w:p>
        </w:tc>
        <w:tc>
          <w:tcPr/>
          <w:p>
            <w:pPr>
              <w:pStyle w:val="Compact"/>
            </w:pPr>
            <w:r>
              <w:t xml:space="preserve">GSVA / ssGSEA</w:t>
            </w:r>
            <w:r>
              <w:t xml:space="preserve"> </w:t>
            </w:r>
            <w:r>
              <w:t xml:space="preserve">(</w:t>
            </w:r>
            <w:hyperlink w:anchor="ref-gsva">
              <w:r>
                <w:rPr>
                  <w:rStyle w:val="Hyperlink"/>
                </w:rPr>
                <w:t xml:space="preserve">Hänzelmann et al. 2013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per-sample signature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LLM API (opt-in)</w:t>
            </w:r>
          </w:p>
        </w:tc>
        <w:tc>
          <w:tcPr/>
          <w:p>
            <w:pPr>
              <w:pStyle w:val="Compact"/>
            </w:pPr>
            <w:r>
              <w:t xml:space="preserve">narrative draft (to verify)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base R / Docker</w:t>
            </w:r>
          </w:p>
        </w:tc>
        <w:tc>
          <w:tcPr/>
          <w:p>
            <w:pPr>
              <w:pStyle w:val="Compact"/>
            </w:pPr>
            <w:r>
              <w:t xml:space="preserve">session file, R script, Methods text, HTML report</w:t>
            </w:r>
          </w:p>
        </w:tc>
      </w:tr>
    </w:tbl>
    <w:bookmarkEnd w:id="26"/>
    <w:bookmarkStart w:id="27" w:name="statistical-methods-and-defaults"/>
    <w:p>
      <w:pPr>
        <w:pStyle w:val="Heading3"/>
      </w:pPr>
      <w:r>
        <w:t xml:space="preserve">Statistical methods and defaults</w:t>
      </w:r>
    </w:p>
    <w:p>
      <w:pPr>
        <w:pStyle w:val="FirstParagraph"/>
      </w:pPr>
      <w:r>
        <w:t xml:space="preserve">Each analysis uses the field-standard method with documented, user-adjustable</w:t>
      </w:r>
      <w:r>
        <w:t xml:space="preserve"> </w:t>
      </w:r>
      <w:r>
        <w:t xml:space="preserve">defaults (Table 2). Two conventions are worth highlighting. First,</w:t>
      </w:r>
      <w:r>
        <w:t xml:space="preserve"> </w:t>
      </w:r>
      <w:r>
        <w:t xml:space="preserve">differential-expression</w:t>
      </w:r>
      <w:r>
        <w:t xml:space="preserve"> </w:t>
      </w:r>
      <w:r>
        <w:rPr>
          <w:i/>
          <w:iCs/>
        </w:rPr>
        <w:t xml:space="preserve">inference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effect-size shrinkage</w:t>
      </w:r>
      <w:r>
        <w:t xml:space="preserve"> </w:t>
      </w:r>
      <w:r>
        <w:t xml:space="preserve">are kept</w:t>
      </w:r>
      <w:r>
        <w:t xml:space="preserve"> </w:t>
      </w:r>
      <w:r>
        <w:t xml:space="preserve">separate: p-values and the test statistic always come from the unshrunken DESeq2</w:t>
      </w:r>
      <w:r>
        <w:t xml:space="preserve"> </w:t>
      </w:r>
      <w:r>
        <w:t xml:space="preserve">Wald test, while apeglm shrinkage only adjusts the reported log-fold-change — so</w:t>
      </w:r>
      <w:r>
        <w:t xml:space="preserve"> </w:t>
      </w:r>
      <w:r>
        <w:t xml:space="preserve">the Wald statistic, and therefore the GSEA ranking that consumes it, is always</w:t>
      </w:r>
      <w:r>
        <w:t xml:space="preserve"> </w:t>
      </w:r>
      <w:r>
        <w:t xml:space="preserve">well defined. Second, the all-pairwise mode fits the model once and extracts each</w:t>
      </w:r>
      <w:r>
        <w:t xml:space="preserve"> </w:t>
      </w:r>
      <w:r>
        <w:t xml:space="preserve">pairwise contrast from that shared fit, which is both statistically consistent</w:t>
      </w:r>
      <w:r>
        <w:t xml:space="preserve"> </w:t>
      </w:r>
      <w:r>
        <w:t xml:space="preserve">(common dispersion estimates) and far cheaper than independent fits.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Statistical methods and default parameters (all user-adjustable).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 / test</w:t>
            </w:r>
          </w:p>
        </w:tc>
        <w:tc>
          <w:tcPr/>
          <w:p>
            <w:pPr>
              <w:pStyle w:val="Compact"/>
            </w:pPr>
            <w:r>
              <w:t xml:space="preserve">Multiple testing</w:t>
            </w:r>
          </w:p>
        </w:tc>
        <w:tc>
          <w:tcPr/>
          <w:p>
            <w:pPr>
              <w:pStyle w:val="Compact"/>
            </w:pPr>
            <w:r>
              <w:t xml:space="preserve">Key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Pre-filtering</w:t>
            </w:r>
          </w:p>
        </w:tc>
        <w:tc>
          <w:tcPr/>
          <w:p>
            <w:pPr>
              <w:pStyle w:val="Compact"/>
            </w:pPr>
            <w:r>
              <w:t xml:space="preserve">drop low-count genes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row sum &gt;=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expression</w:t>
            </w:r>
          </w:p>
        </w:tc>
        <w:tc>
          <w:tcPr/>
          <w:p>
            <w:pPr>
              <w:pStyle w:val="Compact"/>
            </w:pPr>
            <w:r>
              <w:t xml:space="preserve">DESeq2 negative-binomial GLM, Wald test</w:t>
            </w:r>
          </w:p>
        </w:tc>
        <w:tc>
          <w:tcPr/>
          <w:p>
            <w:pPr>
              <w:pStyle w:val="Compact"/>
            </w:pPr>
            <w:r>
              <w:t xml:space="preserve">Benjamini–Hochberg</w:t>
            </w:r>
          </w:p>
        </w:tc>
        <w:tc>
          <w:tcPr/>
          <w:p>
            <w:pPr>
              <w:pStyle w:val="Compact"/>
            </w:pPr>
            <w:r>
              <w:t xml:space="preserve">covariates + variable of interest; independent filtering at alpha = 0.05; apeglm LFC shrinkage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All-pairwise DE</w:t>
            </w:r>
          </w:p>
        </w:tc>
        <w:tc>
          <w:tcPr/>
          <w:p>
            <w:pPr>
              <w:pStyle w:val="Compact"/>
            </w:pPr>
            <w:r>
              <w:t xml:space="preserve">one DESeq2 fit,</w:t>
            </w:r>
            <w:r>
              <w:t xml:space="preserve"> </w:t>
            </w:r>
            <w:r>
              <w:rPr>
                <w:rStyle w:val="VerbatimChar"/>
              </w:rPr>
              <w:t xml:space="preserve">results()</w:t>
            </w:r>
            <w:r>
              <w:t xml:space="preserve"> </w:t>
            </w:r>
            <w:r>
              <w:t xml:space="preserve">per pair</w:t>
            </w:r>
          </w:p>
        </w:tc>
        <w:tc>
          <w:tcPr/>
          <w:p>
            <w:pPr>
              <w:pStyle w:val="Compact"/>
            </w:pPr>
            <w:r>
              <w:t xml:space="preserve">Benjamini–Hochberg</w:t>
            </w:r>
          </w:p>
        </w:tc>
        <w:tc>
          <w:tcPr/>
          <w:p>
            <w:pPr>
              <w:pStyle w:val="Compact"/>
            </w:pPr>
            <w:r>
              <w:t xml:space="preserve">contrast-based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ashr</w:t>
            </w:r>
            <w:r>
              <w:t xml:space="preserve"> </w:t>
            </w:r>
            <w:r>
              <w:t xml:space="preserve">shrinkage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VST (n &gt;= 4) / rlog / log2-CPM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VST, blind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prcomp</w:t>
            </w:r>
            <w:r>
              <w:t xml:space="preserve"> </w:t>
            </w:r>
            <w:r>
              <w:t xml:space="preserve">on top-variable genes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500 most variable (VST)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UMAP</w:t>
            </w:r>
          </w:p>
        </w:tc>
        <w:tc>
          <w:tcPr/>
          <w:p>
            <w:pPr>
              <w:pStyle w:val="Compact"/>
            </w:pPr>
            <w:r>
              <w:t xml:space="preserve">uwot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500 genes; neighbours = 15; min-dist = 0.1;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GSEA</w:t>
            </w:r>
          </w:p>
        </w:tc>
        <w:tc>
          <w:tcPr/>
          <w:p>
            <w:pPr>
              <w:pStyle w:val="Compact"/>
            </w:pPr>
            <w:r>
              <w:t xml:space="preserve">fgsea</w:t>
            </w:r>
          </w:p>
        </w:tc>
        <w:tc>
          <w:tcPr/>
          <w:p>
            <w:pPr>
              <w:pStyle w:val="Compact"/>
            </w:pPr>
            <w:r>
              <w:t xml:space="preserve">Benjamini–Hochberg</w:t>
            </w:r>
          </w:p>
        </w:tc>
        <w:tc>
          <w:tcPr/>
          <w:p>
            <w:pPr>
              <w:pStyle w:val="Compact"/>
            </w:pPr>
            <w:r>
              <w:t xml:space="preserve">ranked by Wald 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clusterProfiler hypergeometric test</w:t>
            </w:r>
          </w:p>
        </w:tc>
        <w:tc>
          <w:tcPr/>
          <w:p>
            <w:pPr>
              <w:pStyle w:val="Compact"/>
            </w:pPr>
            <w:r>
              <w:t xml:space="preserve">Benjamini–Hochberg</w:t>
            </w:r>
          </w:p>
        </w:tc>
        <w:tc>
          <w:tcPr/>
          <w:p>
            <w:pPr>
              <w:pStyle w:val="Compact"/>
            </w:pPr>
            <w:r>
              <w:t xml:space="preserve">universe = tested genes; significant = padj &lt; 0.05 and |log2FC| &gt;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Co-expression</w:t>
            </w:r>
          </w:p>
        </w:tc>
        <w:tc>
          <w:tcPr/>
          <w:p>
            <w:pPr>
              <w:pStyle w:val="Compact"/>
            </w:pPr>
            <w:r>
              <w:t xml:space="preserve">WGCNA, signed network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soft power at scale-free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&gt;= 0.8; dynamic tree cut, min module 30, deepSplit 2, merge height 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Module–trait</w:t>
            </w:r>
          </w:p>
        </w:tc>
        <w:tc>
          <w:tcPr/>
          <w:p>
            <w:pPr>
              <w:pStyle w:val="Compact"/>
            </w:pPr>
            <w:r>
              <w:t xml:space="preserve">Pearson eigengene–trait correlation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correlation p-values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decoupleR univariate linear model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CollecTRI / PROGENy priors; min set size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Signatures</w:t>
            </w:r>
          </w:p>
        </w:tc>
        <w:tc>
          <w:tcPr/>
          <w:p>
            <w:pPr>
              <w:pStyle w:val="Compact"/>
            </w:pPr>
            <w:r>
              <w:t xml:space="preserve">GSVA (Gaussian kernel) / ssGSEA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 size in [5, 500]</w:t>
            </w:r>
          </w:p>
        </w:tc>
      </w:tr>
    </w:tbl>
    <w:p>
      <w:pPr>
        <w:pStyle w:val="BodyText"/>
      </w:pPr>
      <w:r>
        <w:t xml:space="preserve">Gene-set collections are MSigDB (Hallmark, curated C2, ontology C5) via msigdbr,</w:t>
      </w:r>
      <w:r>
        <w:t xml:space="preserve"> </w:t>
      </w:r>
      <w:r>
        <w:t xml:space="preserve">plus GO, KEGG, and Reactome.</w:t>
      </w:r>
    </w:p>
    <w:bookmarkEnd w:id="27"/>
    <w:bookmarkStart w:id="28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RNAflow is built to stay interactive on a laptop. On the 120-sample TCGA cohort</w:t>
      </w:r>
      <w:r>
        <w:t xml:space="preserve"> </w:t>
      </w:r>
      <w:r>
        <w:t xml:space="preserve">(18,686 genes) and the 8-sample airway dataset, running on a current laptop</w:t>
      </w:r>
      <w:r>
        <w:t xml:space="preserve"> </w:t>
      </w:r>
      <w:r>
        <w:t xml:space="preserve">(Apple M-series, R 4.5 / Bioconductor 3.22), representative steps took: the</w:t>
      </w:r>
      <w:r>
        <w:t xml:space="preserve"> </w:t>
      </w:r>
      <w:r>
        <w:t xml:space="preserve">variance-stabilising transform 0.5 s, PCA &lt; 0.1 s, UMAP 0.9 s, GSEA 1.0 s, GSVA</w:t>
      </w:r>
      <w:r>
        <w:t xml:space="preserve"> </w:t>
      </w:r>
      <w:r>
        <w:t xml:space="preserve">(120 samples × 50 signatures) 1.4 s, and WGCNA (3,500 genes) 7.4 s. The</w:t>
      </w:r>
      <w:r>
        <w:t xml:space="preserve"> </w:t>
      </w:r>
      <w:r>
        <w:t xml:space="preserve">compute-bound steps are the DESeq2 fits: a single 120-sample contrast with</w:t>
      </w:r>
      <w:r>
        <w:t xml:space="preserve"> </w:t>
      </w:r>
      <w:r>
        <w:t xml:space="preserve">shrinkage took 25 s and over-representation analysis 15 s, while — the payoff of</w:t>
      </w:r>
      <w:r>
        <w:t xml:space="preserve"> </w:t>
      </w:r>
      <w:r>
        <w:t xml:space="preserve">the shared-fit design —</w:t>
      </w:r>
      <w:r>
        <w:t xml:space="preserve"> </w:t>
      </w:r>
      <w:r>
        <w:rPr>
          <w:b/>
          <w:bCs/>
        </w:rPr>
        <w:t xml:space="preserve">all 28 pairwise contrasts together took 30 s</w:t>
      </w:r>
      <w:r>
        <w:t xml:space="preserve">, versus</w:t>
      </w:r>
      <w:r>
        <w:t xml:space="preserve"> </w:t>
      </w:r>
      <w:r>
        <w:t xml:space="preserve">the several minutes that 28 independent fits would require. A complete reference</w:t>
      </w:r>
      <w:r>
        <w:t xml:space="preserve"> </w:t>
      </w:r>
      <w:r>
        <w:t xml:space="preserve">analysis of the pan-cancer cohort therefore runs end to end in a couple of</w:t>
      </w:r>
      <w:r>
        <w:t xml:space="preserve"> </w:t>
      </w:r>
      <w:r>
        <w:t xml:space="preserve">minutes and within a few gigabytes of memory, well inside the envelope of an</w:t>
      </w:r>
      <w:r>
        <w:t xml:space="preserve"> </w:t>
      </w:r>
      <w:r>
        <w:t xml:space="preserve">interactive session.</w:t>
      </w:r>
    </w:p>
    <w:bookmarkEnd w:id="28"/>
    <w:bookmarkEnd w:id="29"/>
    <w:bookmarkStart w:id="30" w:name="design-rationale-and-intended-use"/>
    <w:p>
      <w:pPr>
        <w:pStyle w:val="Heading2"/>
      </w:pPr>
      <w:r>
        <w:t xml:space="preserve">Design rationale and intended use</w:t>
      </w:r>
    </w:p>
    <w:p>
      <w:pPr>
        <w:pStyle w:val="FirstParagraph"/>
      </w:pPr>
      <w:r>
        <w:t xml:space="preserve">RNAflow is aimed at the researcher who needs a complete, credible bulk RNA-seq</w:t>
      </w:r>
      <w:r>
        <w:t xml:space="preserve"> </w:t>
      </w:r>
      <w:r>
        <w:t xml:space="preserve">analysis but does not want either to write and validate the whole pipeline by</w:t>
      </w:r>
      <w:r>
        <w:t xml:space="preserve"> </w:t>
      </w:r>
      <w:r>
        <w:t xml:space="preserve">hand or to surrender provenance to a web service — typically a bench biologist,</w:t>
      </w:r>
      <w:r>
        <w:t xml:space="preserve"> </w:t>
      </w:r>
      <w:r>
        <w:t xml:space="preserve">a graduate student, or a core-facility analyst supporting many projects. Its</w:t>
      </w:r>
      <w:r>
        <w:t xml:space="preserve"> </w:t>
      </w:r>
      <w:r>
        <w:t xml:space="preserve">guiding idea is</w:t>
      </w:r>
      <w:r>
        <w:t xml:space="preserve"> </w:t>
      </w:r>
      <w:r>
        <w:rPr>
          <w:i/>
          <w:iCs/>
        </w:rPr>
        <w:t xml:space="preserve">reproducible interactivity</w:t>
      </w:r>
      <w:r>
        <w:t xml:space="preserve">: the tool should be as easy to use</w:t>
      </w:r>
      <w:r>
        <w:t xml:space="preserve"> </w:t>
      </w:r>
      <w:r>
        <w:t xml:space="preserve">as a graphical application, yet every action should leave behind the code and the</w:t>
      </w:r>
      <w:r>
        <w:t xml:space="preserve"> </w:t>
      </w:r>
      <w:r>
        <w:t xml:space="preserve">record needed to reproduce it. This is why export is not a peripheral feature but</w:t>
      </w:r>
      <w:r>
        <w:t xml:space="preserve"> </w:t>
      </w:r>
      <w:r>
        <w:t xml:space="preserve">a design centre of gravity, and why the software is structured as a callable,</w:t>
      </w:r>
      <w:r>
        <w:t xml:space="preserve"> </w:t>
      </w:r>
      <w:r>
        <w:t xml:space="preserve">tested library rather than a closed application — the interface and the script it</w:t>
      </w:r>
      <w:r>
        <w:t xml:space="preserve"> </w:t>
      </w:r>
      <w:r>
        <w:t xml:space="preserve">generates are two views of the same underlying functions.</w:t>
      </w:r>
    </w:p>
    <w:p>
      <w:pPr>
        <w:pStyle w:val="BodyText"/>
      </w:pPr>
      <w:r>
        <w:t xml:space="preserve">RNAflow is deliberately positioned on the</w:t>
      </w:r>
      <w:r>
        <w:t xml:space="preserve"> </w:t>
      </w:r>
      <w:r>
        <w:rPr>
          <w:i/>
          <w:iCs/>
        </w:rPr>
        <w:t xml:space="preserve">downstream, interpretive</w:t>
      </w:r>
      <w:r>
        <w:t xml:space="preserve"> </w:t>
      </w:r>
      <w:r>
        <w:t xml:space="preserve">half of the</w:t>
      </w:r>
      <w:r>
        <w:t xml:space="preserve"> </w:t>
      </w:r>
      <w:r>
        <w:t xml:space="preserve">RNA-seq workflow. Upstream read processing — alignment and quantification — is</w:t>
      </w:r>
      <w:r>
        <w:t xml:space="preserve"> </w:t>
      </w:r>
      <w:r>
        <w:t xml:space="preserve">already well served by robust, automatable pipelines, and RNAflow does not</w:t>
      </w:r>
      <w:r>
        <w:t xml:space="preserve"> </w:t>
      </w:r>
      <w:r>
        <w:t xml:space="preserve">duplicate them; it begins where they end, at the count matrix. Equally, it is not</w:t>
      </w:r>
      <w:r>
        <w:t xml:space="preserve"> </w:t>
      </w:r>
      <w:r>
        <w:t xml:space="preserve">intended to replace a fully scripted analysis for a large consortium study, where</w:t>
      </w:r>
      <w:r>
        <w:t xml:space="preserve"> </w:t>
      </w:r>
      <w:r>
        <w:t xml:space="preserve">a bespoke, version-controlled pipeline remains appropriate. Its niche is the very</w:t>
      </w:r>
      <w:r>
        <w:t xml:space="preserve"> </w:t>
      </w:r>
      <w:r>
        <w:t xml:space="preserve">common case of a single investigator or small group with a count matrix and a</w:t>
      </w:r>
      <w:r>
        <w:t xml:space="preserve"> </w:t>
      </w:r>
      <w:r>
        <w:t xml:space="preserve">biological question, for whom the combination of breadth, interactivity, and</w:t>
      </w:r>
      <w:r>
        <w:t xml:space="preserve"> </w:t>
      </w:r>
      <w:r>
        <w:t xml:space="preserve">built-in reproducibility removes most of the friction between data and</w:t>
      </w:r>
      <w:r>
        <w:t xml:space="preserve"> </w:t>
      </w:r>
      <w:r>
        <w:t xml:space="preserve">interpretation.</w:t>
      </w:r>
    </w:p>
    <w:bookmarkEnd w:id="30"/>
    <w:bookmarkStart w:id="51" w:name="results-and-discussion"/>
    <w:p>
      <w:pPr>
        <w:pStyle w:val="Heading2"/>
      </w:pPr>
      <w:r>
        <w:t xml:space="preserve">Results and discussion</w:t>
      </w:r>
    </w:p>
    <w:p>
      <w:pPr>
        <w:pStyle w:val="FirstParagraph"/>
      </w:pPr>
      <w:r>
        <w:t xml:space="preserve">To demonstrate RNAflow end to end, we analysed the two bundled datasets, chosen</w:t>
      </w:r>
      <w:r>
        <w:t xml:space="preserve"> </w:t>
      </w:r>
      <w:r>
        <w:t xml:space="preserve">to probe opposite ends of the difficulty spectrum:</w:t>
      </w:r>
      <w:r>
        <w:t xml:space="preserve"> </w:t>
      </w:r>
      <w:r>
        <w:rPr>
          <w:b/>
          <w:bCs/>
        </w:rPr>
        <w:t xml:space="preserve">airway</w:t>
      </w:r>
      <w:r>
        <w:t xml:space="preserve">, a small,</w:t>
      </w:r>
      <w:r>
        <w:t xml:space="preserve"> </w:t>
      </w:r>
      <w:r>
        <w:t xml:space="preserve">well-understood two-group study that tests whether the tool recovers</w:t>
      </w:r>
      <w:r>
        <w:t xml:space="preserve"> </w:t>
      </w:r>
      <w:r>
        <w:rPr>
          <w:i/>
          <w:iCs/>
        </w:rPr>
        <w:t xml:space="preserve">known</w:t>
      </w:r>
      <w:r>
        <w:t xml:space="preserve"> </w:t>
      </w:r>
      <w:r>
        <w:t xml:space="preserve">biology, and a 120-sample, eight-class subset of</w:t>
      </w:r>
      <w:r>
        <w:t xml:space="preserve"> </w:t>
      </w:r>
      <w:r>
        <w:rPr>
          <w:b/>
          <w:bCs/>
        </w:rPr>
        <w:t xml:space="preserve">TCGA</w:t>
      </w:r>
      <w:r>
        <w:t xml:space="preserve"> </w:t>
      </w:r>
      <w:r>
        <w:t xml:space="preserve">that tests whether it</w:t>
      </w:r>
      <w:r>
        <w:t xml:space="preserve"> </w:t>
      </w:r>
      <w:r>
        <w:rPr>
          <w:i/>
          <w:iCs/>
        </w:rPr>
        <w:t xml:space="preserve">scales</w:t>
      </w:r>
      <w:r>
        <w:t xml:space="preserve"> </w:t>
      </w:r>
      <w:r>
        <w:t xml:space="preserve">to complex, multi-group data. All results were produced with RNAflow’s</w:t>
      </w:r>
      <w:r>
        <w:t xml:space="preserve"> </w:t>
      </w:r>
      <w:r>
        <w:t xml:space="preserve">public functions, and the three main figures are composed from the tool’s own</w:t>
      </w:r>
      <w:r>
        <w:t xml:space="preserve"> </w:t>
      </w:r>
      <w:r>
        <w:t xml:space="preserve">figure outputs (per-panel renders and layouts are in the repository).</w:t>
      </w:r>
    </w:p>
    <w:bookmarkStart w:id="31" w:name="X634e27a7b9dd533bc9e71eda7b3b2353a4de3b8"/>
    <w:p>
      <w:pPr>
        <w:pStyle w:val="Heading3"/>
      </w:pPr>
      <w:r>
        <w:t xml:space="preserve">RNAflow recovers established biology on a known study</w:t>
      </w:r>
    </w:p>
    <w:p>
      <w:pPr>
        <w:pStyle w:val="FirstParagraph"/>
      </w:pPr>
      <w:r>
        <w:t xml:space="preserve">We first confirmed that RNAflow reproduces the biology of a well-characterised</w:t>
      </w:r>
      <w:r>
        <w:t xml:space="preserve"> </w:t>
      </w:r>
      <w:r>
        <w:t xml:space="preserve">experiment (Figure 2). In the airway dataset</w:t>
      </w:r>
      <w:r>
        <w:t xml:space="preserve"> </w:t>
      </w:r>
      <w:r>
        <w:t xml:space="preserve">(</w:t>
      </w:r>
      <w:hyperlink w:anchor="ref-airway">
        <w:r>
          <w:rPr>
            <w:rStyle w:val="Hyperlink"/>
          </w:rPr>
          <w:t xml:space="preserve">Himes et al. 2014</w:t>
        </w:r>
      </w:hyperlink>
      <w:r>
        <w:t xml:space="preserve">)</w:t>
      </w:r>
      <w:r>
        <w:t xml:space="preserve"> </w:t>
      </w:r>
      <w:r>
        <w:t xml:space="preserve">— airway smooth-muscle</w:t>
      </w:r>
      <w:r>
        <w:t xml:space="preserve"> </w:t>
      </w:r>
      <w:r>
        <w:t xml:space="preserve">cells treated with dexamethasone versus control across four cell lines —</w:t>
      </w:r>
      <w:r>
        <w:t xml:space="preserve"> </w:t>
      </w:r>
      <w:r>
        <w:t xml:space="preserve">modelling</w:t>
      </w:r>
      <w:r>
        <w:t xml:space="preserve"> </w:t>
      </w:r>
      <w:r>
        <w:rPr>
          <w:rStyle w:val="VerbatimChar"/>
        </w:rPr>
        <w:t xml:space="preserve">~ cell + condition</w:t>
      </w:r>
      <w:r>
        <w:t xml:space="preserve"> </w:t>
      </w:r>
      <w:r>
        <w:t xml:space="preserve">to adjust for the paired cell line, RNAflow</w:t>
      </w:r>
      <w:r>
        <w:t xml:space="preserve"> </w:t>
      </w:r>
      <w:r>
        <w:t xml:space="preserve">identified 770 differentially expressed genes (415 up, 355 down; 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0.05, absolute log2 fold change &gt; 1) of 17,190 tested (Figure 2A). The MA</w:t>
      </w:r>
      <w:r>
        <w:t xml:space="preserve"> </w:t>
      </w:r>
      <w:r>
        <w:t xml:space="preserve">plot and a well-behaved p-value distribution confirm a sound test (Figure 2B, C),</w:t>
      </w:r>
      <w:r>
        <w:t xml:space="preserve"> </w:t>
      </w:r>
      <w:r>
        <w:t xml:space="preserve">and a heatmap of the top genes cleanly separates treated from control samples</w:t>
      </w:r>
      <w:r>
        <w:t xml:space="preserve"> </w:t>
      </w:r>
      <w:r>
        <w:t xml:space="preserve">(Figure 2D). The most strongly induced genes are canonical glucocorticoid-response</w:t>
      </w:r>
      <w:r>
        <w:t xml:space="preserve"> </w:t>
      </w:r>
      <w:r>
        <w:t xml:space="preserve">genes (</w:t>
      </w:r>
      <w:r>
        <w:rPr>
          <w:i/>
          <w:iCs/>
        </w:rPr>
        <w:t xml:space="preserve">ZBTB16</w:t>
      </w:r>
      <w:r>
        <w:t xml:space="preserve">,</w:t>
      </w:r>
      <w:r>
        <w:t xml:space="preserve"> </w:t>
      </w:r>
      <w:r>
        <w:rPr>
          <w:i/>
          <w:iCs/>
        </w:rPr>
        <w:t xml:space="preserve">STEAP4</w:t>
      </w:r>
      <w:r>
        <w:t xml:space="preserve">,</w:t>
      </w:r>
      <w:r>
        <w:t xml:space="preserve"> </w:t>
      </w:r>
      <w:r>
        <w:rPr>
          <w:i/>
          <w:iCs/>
        </w:rPr>
        <w:t xml:space="preserve">ALOX15B</w:t>
      </w:r>
      <w:r>
        <w:t xml:space="preserve">,</w:t>
      </w:r>
      <w:r>
        <w:t xml:space="preserve"> </w:t>
      </w:r>
      <w:r>
        <w:rPr>
          <w:i/>
          <w:iCs/>
        </w:rPr>
        <w:t xml:space="preserve">DUSP1</w:t>
      </w:r>
      <w:r>
        <w:t xml:space="preserve">,</w:t>
      </w:r>
      <w:r>
        <w:t xml:space="preserve"> </w:t>
      </w:r>
      <w:r>
        <w:rPr>
          <w:i/>
          <w:iCs/>
        </w:rPr>
        <w:t xml:space="preserve">SPARCL1</w:t>
      </w:r>
      <w:r>
        <w:t xml:space="preserve">), and functional</w:t>
      </w:r>
      <w:r>
        <w:t xml:space="preserve"> </w:t>
      </w:r>
      <w:r>
        <w:t xml:space="preserve">enrichment recovers the expected programme: gene-set enrichment against MSigDB</w:t>
      </w:r>
      <w:r>
        <w:t xml:space="preserve"> </w:t>
      </w:r>
      <w:r>
        <w:t xml:space="preserve">Hallmark returns 19 significantly enriched sets (Figure 2E) and</w:t>
      </w:r>
      <w:r>
        <w:t xml:space="preserve"> </w:t>
      </w:r>
      <w:r>
        <w:t xml:space="preserve">over-representation analysis against Gene Ontology agrees (Figure 2F). This</w:t>
      </w:r>
      <w:r>
        <w:t xml:space="preserve"> </w:t>
      </w:r>
      <w:r>
        <w:t xml:space="preserve">confirms both the differential-expression pipeline and that enrichment ranking on</w:t>
      </w:r>
      <w:r>
        <w:t xml:space="preserve"> </w:t>
      </w:r>
      <w:r>
        <w:t xml:space="preserve">the preserved Wald statistic behaves correctly.</w:t>
      </w:r>
    </w:p>
    <w:bookmarkEnd w:id="31"/>
    <w:bookmarkStart w:id="32" w:name="X7465f8df006ef48d07cb4f6c86c4229706bcd52"/>
    <w:p>
      <w:pPr>
        <w:pStyle w:val="Heading3"/>
      </w:pPr>
      <w:r>
        <w:t xml:space="preserve">Molecular characterisation of the pan-cancer cohort</w:t>
      </w:r>
    </w:p>
    <w:p>
      <w:pPr>
        <w:pStyle w:val="FirstParagraph"/>
      </w:pPr>
      <w:r>
        <w:t xml:space="preserve">The same tool then characterised the complex cohort from several angles</w:t>
      </w:r>
      <w:r>
        <w:t xml:space="preserve"> </w:t>
      </w:r>
      <w:r>
        <w:t xml:space="preserve">(Figure 3). The TCGA subset comprises 120 tumours across eight molecularly</w:t>
      </w:r>
      <w:r>
        <w:t xml:space="preserve"> </w:t>
      </w:r>
      <w:r>
        <w:t xml:space="preserve">distinct cancer types (BRCA, LUAD, KIRC, LGG, THCA, PRAD, COAD, SKCM; 18,686</w:t>
      </w:r>
      <w:r>
        <w:t xml:space="preserve"> </w:t>
      </w:r>
      <w:r>
        <w:t xml:space="preserve">genes</w:t>
      </w:r>
      <w:r>
        <w:t xml:space="preserve"> </w:t>
      </w:r>
      <w:r>
        <w:t xml:space="preserve">(</w:t>
      </w:r>
      <w:hyperlink w:anchor="ref-gse62944">
        <w:r>
          <w:rPr>
            <w:rStyle w:val="Hyperlink"/>
          </w:rPr>
          <w:t xml:space="preserve">Rahman et al. 2015</w:t>
        </w:r>
      </w:hyperlink>
      <w:r>
        <w:t xml:space="preserve">;</w:t>
      </w:r>
      <w:r>
        <w:t xml:space="preserve"> </w:t>
      </w:r>
      <w:hyperlink w:anchor="ref-tcga">
        <w:r>
          <w:rPr>
            <w:rStyle w:val="Hyperlink"/>
          </w:rPr>
          <w:t xml:space="preserve">Weinstein et al. 2013</w:t>
        </w:r>
      </w:hyperlink>
      <w:r>
        <w:t xml:space="preserve">)</w:t>
      </w:r>
      <w:r>
        <w:t xml:space="preserve">). Per-sample gene-set variation analysis against the</w:t>
      </w:r>
      <w:r>
        <w:t xml:space="preserve"> </w:t>
      </w:r>
      <w:r>
        <w:t xml:space="preserve">Hallmark collection scores every tumour on 45 pathway signatures; clustered,</w:t>
      </w:r>
      <w:r>
        <w:t xml:space="preserve"> </w:t>
      </w:r>
      <w:r>
        <w:t xml:space="preserve">these group the tumours by cancer type and expose coherent programmes —</w:t>
      </w:r>
      <w:r>
        <w:t xml:space="preserve"> </w:t>
      </w:r>
      <w:r>
        <w:t xml:space="preserve">proliferation (E2F, MYC, G2M), interferon and inflammatory signalling, and</w:t>
      </w:r>
      <w:r>
        <w:t xml:space="preserve"> </w:t>
      </w:r>
      <w:r>
        <w:t xml:space="preserve">metabolism (Figure 3A). Principal-component analysis confirms the same separation</w:t>
      </w:r>
      <w:r>
        <w:t xml:space="preserve"> </w:t>
      </w:r>
      <w:r>
        <w:t xml:space="preserve">(Figure 3B; the first two components explaining 30.3% and 12.9% of variance).</w:t>
      </w:r>
      <w:r>
        <w:t xml:space="preserve"> </w:t>
      </w:r>
      <w:r>
        <w:t xml:space="preserve">Weighted co-expression analysis then ties this structure to gene programmes:</w:t>
      </w:r>
      <w:r>
        <w:t xml:space="preserve"> </w:t>
      </w:r>
      <w:r>
        <w:t xml:space="preserve">after scale-free soft-threshold selection (Figure 3C), WGCNA recovers 11 modules</w:t>
      </w:r>
      <w:r>
        <w:t xml:space="preserve"> </w:t>
      </w:r>
      <w:r>
        <w:t xml:space="preserve">whose eigengenes correlate strongly and specifically with cancer type</w:t>
      </w:r>
      <w:r>
        <w:t xml:space="preserve"> </w:t>
      </w:r>
      <w:r>
        <w:t xml:space="preserve">(Figure 3D) — the clearest being the turquoise module with glioma at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0.96,</w:t>
      </w:r>
      <w:r>
        <w:t xml:space="preserve"> </w:t>
      </w:r>
      <w:r>
        <w:t xml:space="preserve">with comparably strong module–type pairs for each remaining cancer — and</w:t>
      </w:r>
      <w:r>
        <w:t xml:space="preserve"> </w:t>
      </w:r>
      <w:r>
        <w:t xml:space="preserve">functional enrichment of the modules (Figure 3E) recovers cell-cycle, immune,</w:t>
      </w:r>
      <w:r>
        <w:t xml:space="preserve"> </w:t>
      </w:r>
      <w:r>
        <w:t xml:space="preserve">extracellular-matrix, and tissue-specific programmes, moving interpretation from</w:t>
      </w:r>
      <w:r>
        <w:t xml:space="preserve"> </w:t>
      </w:r>
      <w:r>
        <w:t xml:space="preserve">single genes to coordinated, annotated modules.</w:t>
      </w:r>
    </w:p>
    <w:bookmarkEnd w:id="32"/>
    <w:bookmarkStart w:id="33" w:name="Xda943d31df7c97d12efa611b5ca64dbfaa7e91c"/>
    <w:p>
      <w:pPr>
        <w:pStyle w:val="Heading3"/>
      </w:pPr>
      <w:r>
        <w:t xml:space="preserve">Multi-contrast comparison across cancer types</w:t>
      </w:r>
    </w:p>
    <w:p>
      <w:pPr>
        <w:pStyle w:val="FirstParagraph"/>
      </w:pPr>
      <w:r>
        <w:t xml:space="preserve">With eight groups, every pairwise difference is potentially informative.</w:t>
      </w:r>
      <w:r>
        <w:t xml:space="preserve"> </w:t>
      </w:r>
      <w:r>
        <w:t xml:space="preserve">RNAflow’s all-pairwise mode fits the model once and extracts all 28 contrasts;</w:t>
      </w:r>
      <w:r>
        <w:t xml:space="preserve"> </w:t>
      </w:r>
      <w:r>
        <w:t xml:space="preserve">across them the number of differentially expressed genes ranges from 3,852 to</w:t>
      </w:r>
      <w:r>
        <w:t xml:space="preserve"> </w:t>
      </w:r>
      <w:r>
        <w:t xml:space="preserve">9,583 (median 6,523; 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0.05, absolute log2 fold change &gt; 1). The</w:t>
      </w:r>
      <w:r>
        <w:t xml:space="preserve"> </w:t>
      </w:r>
      <w:r>
        <w:t xml:space="preserve">comparison views turn this into interpretable structure (Figure 4): a grid of</w:t>
      </w:r>
      <w:r>
        <w:t xml:space="preserve"> </w:t>
      </w:r>
      <w:r>
        <w:t xml:space="preserve">pairwise volcano plots in which tissue-appropriate markers surface automatically</w:t>
      </w:r>
      <w:r>
        <w:t xml:space="preserve"> </w:t>
      </w:r>
      <w:r>
        <w:t xml:space="preserve">(thyroglobulin for thyroid, surfactant and napsin genes for lung; Figure 4A);</w:t>
      </w:r>
      <w:r>
        <w:t xml:space="preserve"> </w:t>
      </w:r>
      <w:r>
        <w:t xml:space="preserve">UpSet and Venn views of the significant-gene overlap that separate a shared,</w:t>
      </w:r>
      <w:r>
        <w:t xml:space="preserve"> </w:t>
      </w:r>
      <w:r>
        <w:t xml:space="preserve">pan-cancer component from contrast-specific genes (Figure 4B, C); a</w:t>
      </w:r>
      <w:r>
        <w:t xml:space="preserve"> </w:t>
      </w:r>
      <w:r>
        <w:t xml:space="preserve">log-fold-change heatmap of genes across contrasts (Figure 4D); and an alluvial</w:t>
      </w:r>
      <w:r>
        <w:t xml:space="preserve"> </w:t>
      </w:r>
      <w:r>
        <w:t xml:space="preserve">diagram tracing how genes move between up-, down-, and not-significant across</w:t>
      </w:r>
      <w:r>
        <w:t xml:space="preserve"> </w:t>
      </w:r>
      <w:r>
        <w:t xml:space="preserve">contrasts (Figure 4E).</w:t>
      </w:r>
    </w:p>
    <w:bookmarkEnd w:id="33"/>
    <w:bookmarkStart w:id="34" w:name="ai-assisted-interpretation-1"/>
    <w:p>
      <w:pPr>
        <w:pStyle w:val="Heading3"/>
      </w:pPr>
      <w:r>
        <w:t xml:space="preserve">AI-assisted interpretation</w:t>
      </w:r>
    </w:p>
    <w:p>
      <w:pPr>
        <w:pStyle w:val="FirstParagraph"/>
      </w:pPr>
      <w:r>
        <w:t xml:space="preserve">As an optional final step, RNAflow can draft a biological interpretation of a</w:t>
      </w:r>
      <w:r>
        <w:t xml:space="preserve"> </w:t>
      </w:r>
      <w:r>
        <w:t xml:space="preserve">contrast — the feature that most distinguishes it from other tools. It assembles</w:t>
      </w:r>
      <w:r>
        <w:t xml:space="preserve"> </w:t>
      </w:r>
      <w:r>
        <w:t xml:space="preserve">a structured prompt from the contrast (the top up- and down-regulated genes with</w:t>
      </w:r>
      <w:r>
        <w:t xml:space="preserve"> </w:t>
      </w:r>
      <w:r>
        <w:t xml:space="preserve">their statistics and the most enriched gene sets) and queries a large language</w:t>
      </w:r>
      <w:r>
        <w:t xml:space="preserve"> </w:t>
      </w:r>
      <w:r>
        <w:t xml:space="preserve">model under a system prompt that instructs the model to stay grounded in the</w:t>
      </w:r>
      <w:r>
        <w:t xml:space="preserve"> </w:t>
      </w:r>
      <w:r>
        <w:t xml:space="preserve">supplied data, distinguish established biology from speculation, and note caveats.</w:t>
      </w:r>
      <w:r>
        <w:t xml:space="preserve"> </w:t>
      </w:r>
      <w:r>
        <w:t xml:space="preserve">For the airway contrast, the feature returns a concise narrative that correctly</w:t>
      </w:r>
      <w:r>
        <w:t xml:space="preserve"> </w:t>
      </w:r>
      <w:r>
        <w:t xml:space="preserve">identifies the canonical glucocorticoid-receptor signature and its</w:t>
      </w:r>
      <w:r>
        <w:t xml:space="preserve"> </w:t>
      </w:r>
      <w:r>
        <w:t xml:space="preserve">anti-inflammatory counterpart (Box 1). We stress that this is a</w:t>
      </w:r>
      <w:r>
        <w:t xml:space="preserve"> </w:t>
      </w:r>
      <w:r>
        <w:rPr>
          <w:i/>
          <w:iCs/>
        </w:rPr>
        <w:t xml:space="preserve">hypothesis-generating aid, not a source of ground truth</w:t>
      </w:r>
      <w:r>
        <w:t xml:space="preserve">: it runs only when the</w:t>
      </w:r>
      <w:r>
        <w:t xml:space="preserve"> </w:t>
      </w:r>
      <w:r>
        <w:t xml:space="preserve">user supplies their own API key, no data leave the machine otherwise, and its</w:t>
      </w:r>
      <w:r>
        <w:t xml:space="preserve"> </w:t>
      </w:r>
      <w:r>
        <w:t xml:space="preserve">statements — like any interpretation — must be verified against the primary</w:t>
      </w:r>
      <w:r>
        <w:t xml:space="preserve"> </w:t>
      </w:r>
      <w:r>
        <w:t xml:space="preserve">results and the literature. Its value is to help a user orient quickly in an</w:t>
      </w:r>
      <w:r>
        <w:t xml:space="preserve"> </w:t>
      </w:r>
      <w:r>
        <w:t xml:space="preserve">unfamiliar area and to draft a first version of a Methods or Discussion narrative</w:t>
      </w:r>
      <w:r>
        <w:t xml:space="preserve"> </w:t>
      </w:r>
      <w:r>
        <w:t xml:space="preserve">that the analyst then checks and edits; the exact wording is model- and</w:t>
      </w:r>
      <w:r>
        <w:t xml:space="preserve"> </w:t>
      </w:r>
      <w:r>
        <w:t xml:space="preserve">version-dependent and is regenerated, not fixed.</w:t>
      </w:r>
    </w:p>
    <w:p>
      <w:pPr>
        <w:pStyle w:val="BlockText"/>
      </w:pPr>
      <w:r>
        <w:rPr>
          <w:b/>
          <w:bCs/>
        </w:rPr>
        <w:t xml:space="preserve">Box 1 · Example AI-assisted interpretation</w:t>
      </w:r>
      <w:r>
        <w:t xml:space="preserve"> </w:t>
      </w:r>
      <w:r>
        <w:t xml:space="preserve">(airway, dexamethasone vs</w:t>
      </w:r>
      <w:r>
        <w:t xml:space="preserve"> </w:t>
      </w:r>
      <w:r>
        <w:t xml:space="preserve">control; produced by the feature with Claude Opus 4.8 from the exported</w:t>
      </w:r>
      <w:r>
        <w:t xml:space="preserve"> </w:t>
      </w:r>
      <w:r>
        <w:t xml:space="preserve">contrast, abridged).</w:t>
      </w:r>
      <w:r>
        <w:t xml:space="preserve"> </w:t>
      </w:r>
      <w:r>
        <w:rPr>
          <w:i/>
          <w:iCs/>
        </w:rPr>
        <w:t xml:space="preserve">Illustrative and hypothesis-generating; to be verified.</w:t>
      </w:r>
    </w:p>
    <w:p>
      <w:pPr>
        <w:pStyle w:val="BlockText"/>
      </w:pPr>
      <w:r>
        <w:t xml:space="preserve">The contrast is dominated by a canonical glucocorticoid-receptor (GR)</w:t>
      </w:r>
      <w:r>
        <w:t xml:space="preserve"> </w:t>
      </w:r>
      <w:r>
        <w:t xml:space="preserve">transcriptional signature. The most strongly induced genes include</w:t>
      </w:r>
      <w:r>
        <w:t xml:space="preserve"> </w:t>
      </w:r>
      <w:r>
        <w:t xml:space="preserve">well-established glucocorticoid-responsive genes —</w:t>
      </w:r>
      <w:r>
        <w:t xml:space="preserve"> </w:t>
      </w:r>
      <w:r>
        <w:rPr>
          <w:i/>
          <w:iCs/>
        </w:rPr>
        <w:t xml:space="preserve">FKBP5</w:t>
      </w:r>
      <w:r>
        <w:t xml:space="preserve"> </w:t>
      </w:r>
      <w:r>
        <w:t xml:space="preserve">(a classical direct</w:t>
      </w:r>
      <w:r>
        <w:t xml:space="preserve"> </w:t>
      </w:r>
      <w:r>
        <w:t xml:space="preserve">GR target),</w:t>
      </w:r>
      <w:r>
        <w:t xml:space="preserve"> </w:t>
      </w:r>
      <w:r>
        <w:rPr>
          <w:i/>
          <w:iCs/>
        </w:rPr>
        <w:t xml:space="preserve">KLF15</w:t>
      </w:r>
      <w:r>
        <w:t xml:space="preserve">,</w:t>
      </w:r>
      <w:r>
        <w:t xml:space="preserve"> </w:t>
      </w:r>
      <w:r>
        <w:rPr>
          <w:i/>
          <w:iCs/>
        </w:rPr>
        <w:t xml:space="preserve">ZBTB16</w:t>
      </w:r>
      <w:r>
        <w:t xml:space="preserve">,</w:t>
      </w:r>
      <w:r>
        <w:t xml:space="preserve"> </w:t>
      </w:r>
      <w:r>
        <w:rPr>
          <w:i/>
          <w:iCs/>
        </w:rPr>
        <w:t xml:space="preserve">SAMHD1</w:t>
      </w:r>
      <w:r>
        <w:t xml:space="preserve">, and</w:t>
      </w:r>
      <w:r>
        <w:t xml:space="preserve"> </w:t>
      </w:r>
      <w:r>
        <w:rPr>
          <w:i/>
          <w:iCs/>
        </w:rPr>
        <w:t xml:space="preserve">STEAP4</w:t>
      </w:r>
      <w:r>
        <w:t xml:space="preserve"> </w:t>
      </w:r>
      <w:r>
        <w:t xml:space="preserve">— together with</w:t>
      </w:r>
      <w:r>
        <w:t xml:space="preserve"> </w:t>
      </w:r>
      <w:r>
        <w:rPr>
          <w:i/>
          <w:iCs/>
        </w:rPr>
        <w:t xml:space="preserve">CIDEC</w:t>
      </w:r>
      <w:r>
        <w:t xml:space="preserve">,</w:t>
      </w:r>
      <w:r>
        <w:t xml:space="preserve"> </w:t>
      </w:r>
      <w:r>
        <w:rPr>
          <w:i/>
          <w:iCs/>
        </w:rPr>
        <w:t xml:space="preserve">ANGPTL7</w:t>
      </w:r>
      <w:r>
        <w:t xml:space="preserve">, and other genes consistent with the metabolic/adipogenic arm of</w:t>
      </w:r>
      <w:r>
        <w:t xml:space="preserve"> </w:t>
      </w:r>
      <w:r>
        <w:t xml:space="preserve">glucocorticoid action, matching the Hallmark</w:t>
      </w:r>
      <w:r>
        <w:t xml:space="preserve"> </w:t>
      </w:r>
      <w:r>
        <w:rPr>
          <w:b/>
          <w:bCs/>
        </w:rPr>
        <w:t xml:space="preserve">adipogenesis</w:t>
      </w:r>
      <w:r>
        <w:t xml:space="preserve"> </w:t>
      </w:r>
      <w:r>
        <w:t xml:space="preserve">enrichment.</w:t>
      </w:r>
      <w:r>
        <w:t xml:space="preserve"> </w:t>
      </w:r>
      <w:r>
        <w:t xml:space="preserve">Conversely, the down-regulated set includes pro-inflammatory and cell-adhesion</w:t>
      </w:r>
      <w:r>
        <w:t xml:space="preserve"> </w:t>
      </w:r>
      <w:r>
        <w:t xml:space="preserve">genes (</w:t>
      </w:r>
      <w:r>
        <w:rPr>
          <w:i/>
          <w:iCs/>
        </w:rPr>
        <w:t xml:space="preserve">VCAM1</w:t>
      </w:r>
      <w:r>
        <w:t xml:space="preserve">,</w:t>
      </w:r>
      <w:r>
        <w:t xml:space="preserve"> </w:t>
      </w:r>
      <w:r>
        <w:rPr>
          <w:i/>
          <w:iCs/>
        </w:rPr>
        <w:t xml:space="preserve">CCL8</w:t>
      </w:r>
      <w:r>
        <w:t xml:space="preserve">,</w:t>
      </w:r>
      <w:r>
        <w:t xml:space="preserve"> </w:t>
      </w:r>
      <w:r>
        <w:rPr>
          <w:i/>
          <w:iCs/>
        </w:rPr>
        <w:t xml:space="preserve">WNT2</w:t>
      </w:r>
      <w:r>
        <w:t xml:space="preserve">), consistent with the well-documented</w:t>
      </w:r>
      <w:r>
        <w:t xml:space="preserve"> </w:t>
      </w:r>
      <w:r>
        <w:t xml:space="preserve">anti-inflammatory effect of dexamethasone and the suppression of</w:t>
      </w:r>
      <w:r>
        <w:t xml:space="preserve"> </w:t>
      </w:r>
      <w:r>
        <w:t xml:space="preserve">TNFalpha/NF-kB signalling seen in the enrichment.</w:t>
      </w:r>
    </w:p>
    <w:p>
      <w:pPr>
        <w:pStyle w:val="BlockText"/>
      </w:pPr>
      <w:r>
        <w:t xml:space="preserve">Overall this is the expected biology of glucocorticoid exposure in airway</w:t>
      </w:r>
      <w:r>
        <w:t xml:space="preserve"> </w:t>
      </w:r>
      <w:r>
        <w:t xml:space="preserve">smooth muscle. Two caveats: enrichment reflects the ranked gene list rather</w:t>
      </w:r>
      <w:r>
        <w:t xml:space="preserve"> </w:t>
      </w:r>
      <w:r>
        <w:t xml:space="preserve">than proof of mechanism, and the four cell lines are a limited sample. A</w:t>
      </w:r>
      <w:r>
        <w:t xml:space="preserve"> </w:t>
      </w:r>
      <w:r>
        <w:t xml:space="preserve">reasonable next step is to confirm representative GR targets (e.g. </w:t>
      </w:r>
      <w:r>
        <w:rPr>
          <w:i/>
          <w:iCs/>
        </w:rPr>
        <w:t xml:space="preserve">FKBP5</w:t>
      </w:r>
      <w:r>
        <w:t xml:space="preserve">) and</w:t>
      </w:r>
      <w:r>
        <w:t xml:space="preserve"> </w:t>
      </w:r>
      <w:r>
        <w:t xml:space="preserve">test for GR-binding motifs among the induced genes.</w:t>
      </w:r>
    </w:p>
    <w:bookmarkEnd w:id="34"/>
    <w:bookmarkStart w:id="47" w:name="validation-and-reproducibility"/>
    <w:p>
      <w:pPr>
        <w:pStyle w:val="Heading3"/>
      </w:pPr>
      <w:r>
        <w:t xml:space="preserve">Validation and reproducibility</w:t>
      </w:r>
    </w:p>
    <w:p>
      <w:pPr>
        <w:pStyle w:val="FirstParagraph"/>
      </w:pPr>
      <w:r>
        <w:t xml:space="preserve">We validated RNAflow’s correctness and reproducibility directly (Figure 5).</w:t>
      </w:r>
      <w:r>
        <w:t xml:space="preserve"> </w:t>
      </w:r>
      <w:r>
        <w:rPr>
          <w:i/>
          <w:iCs/>
        </w:rPr>
        <w:t xml:space="preserve">Reproducibility.</w:t>
      </w:r>
      <w:r>
        <w:t xml:space="preserve"> </w:t>
      </w:r>
      <w:r>
        <w:t xml:space="preserve">Exporting the airway session as an R script and re-running it</w:t>
      </w:r>
      <w:r>
        <w:t xml:space="preserve"> </w:t>
      </w:r>
      <w:r>
        <w:t xml:space="preserve">in a clean R process regenerated the differential-expression table bit for bit:</w:t>
      </w:r>
      <w:r>
        <w:t xml:space="preserve"> </w:t>
      </w:r>
      <w:r>
        <w:t xml:space="preserve">across all 17,190 tested genes the largest absolute difference in log2 fold change</w:t>
      </w:r>
      <w:r>
        <w:t xml:space="preserve"> </w:t>
      </w:r>
      <w:r>
        <w:t xml:space="preserve">was 3 × 10</w:t>
      </w:r>
      <w:r>
        <w:rPr>
          <w:vertAlign w:val="superscript"/>
        </w:rPr>
        <w:t xml:space="preserve">-14</w:t>
      </w:r>
      <w:r>
        <w:t xml:space="preserve"> </w:t>
      </w:r>
      <w:r>
        <w:t xml:space="preserve">— numerical noise — and its correlation with the interactive result</w:t>
      </w:r>
      <w:r>
        <w:t xml:space="preserve"> </w:t>
      </w:r>
      <w:r>
        <w:t xml:space="preserve">was 1.000 (Figure 5A). An interactive analysis is therefore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recoverable</w:t>
      </w:r>
      <w:r>
        <w:t xml:space="preserve"> </w:t>
      </w:r>
      <w:r>
        <w:t xml:space="preserve">as code, not merely approximately.</w:t>
      </w:r>
      <w:r>
        <w:t xml:space="preserve"> </w:t>
      </w:r>
      <w:r>
        <w:rPr>
          <w:i/>
          <w:iCs/>
        </w:rPr>
        <w:t xml:space="preserve">All-pairwise consistency.</w:t>
      </w:r>
      <w:r>
        <w:t xml:space="preserve"> </w:t>
      </w:r>
      <w:r>
        <w:t xml:space="preserve">The all-pairwise</w:t>
      </w:r>
      <w:r>
        <w:t xml:space="preserve"> </w:t>
      </w:r>
      <w:r>
        <w:t xml:space="preserve">mode, which extracts every contrast from a single model fit, is statistically</w:t>
      </w:r>
      <w:r>
        <w:t xml:space="preserve"> </w:t>
      </w:r>
      <w:r>
        <w:t xml:space="preserve">identical to fitting each contrast independently: across three representative TCGA</w:t>
      </w:r>
      <w:r>
        <w:t xml:space="preserve"> </w:t>
      </w:r>
      <w:r>
        <w:t xml:space="preserve">contrasts the log-fold-changes and Wald statistics matched the independently</w:t>
      </w:r>
      <w:r>
        <w:t xml:space="preserve"> </w:t>
      </w:r>
      <w:r>
        <w:t xml:space="preserve">fitted values exactly (maximum absolute difference 0; Figure 5B), confirming that</w:t>
      </w:r>
      <w:r>
        <w:t xml:space="preserve"> </w:t>
      </w:r>
      <w:r>
        <w:t xml:space="preserve">the shared-fit shortcut changes only the run time.</w:t>
      </w:r>
      <w:r>
        <w:t xml:space="preserve"> </w:t>
      </w:r>
      <w:r>
        <w:rPr>
          <w:i/>
          <w:iCs/>
        </w:rPr>
        <w:t xml:space="preserve">Method concordance.</w:t>
      </w:r>
      <w:r>
        <w:t xml:space="preserve"> </w:t>
      </w:r>
      <w:r>
        <w:t xml:space="preserve">On the</w:t>
      </w:r>
      <w:r>
        <w:t xml:space="preserve"> </w:t>
      </w:r>
      <w:r>
        <w:t xml:space="preserve">airway contrast, RNAflow’s DESeq2 log-fold-changes agree closely with an</w:t>
      </w:r>
      <w:r>
        <w:t xml:space="preserve"> </w:t>
      </w:r>
      <w:r>
        <w:t xml:space="preserve">independent limma-voom analysis of the same data (Pearson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0.97, Spearman</w:t>
      </w:r>
      <w:r>
        <w:t xml:space="preserve"> </w:t>
      </w:r>
      <w:r>
        <w:rPr>
          <w:i/>
          <w:iCs/>
        </w:rPr>
        <w:t xml:space="preserve">rho</w:t>
      </w:r>
      <w:r>
        <w:t xml:space="preserve"> </w:t>
      </w:r>
      <w:r>
        <w:t xml:space="preserve">= 0.99 across 13,952 common genes; Figure 5C), and the significant-gene sets</w:t>
      </w:r>
      <w:r>
        <w:t xml:space="preserve"> </w:t>
      </w:r>
      <w:r>
        <w:t xml:space="preserve">overlap substantially (Jaccard 0.70), as expected for two well-established but</w:t>
      </w:r>
      <w:r>
        <w:t xml:space="preserve"> </w:t>
      </w:r>
      <w:r>
        <w:t xml:space="preserve">distinct methods.</w:t>
      </w:r>
      <w:r>
        <w:t xml:space="preserve"> </w:t>
      </w:r>
      <w:r>
        <w:rPr>
          <w:i/>
          <w:iCs/>
        </w:rPr>
        <w:t xml:space="preserve">Test coverage.</w:t>
      </w:r>
      <w:r>
        <w:t xml:space="preserve"> </w:t>
      </w:r>
      <w:r>
        <w:t xml:space="preserve">The pure analysis and figure layer — the code</w:t>
      </w:r>
      <w:r>
        <w:t xml:space="preserve"> </w:t>
      </w:r>
      <w:r>
        <w:t xml:space="preserve">that produces every result and plot — has 77% line coverage from the unit-test</w:t>
      </w:r>
      <w:r>
        <w:t xml:space="preserve"> </w:t>
      </w:r>
      <w:r>
        <w:t xml:space="preserve">suite; overall package coverage is 41%, the remainder being the thin Shiny module</w:t>
      </w:r>
      <w:r>
        <w:t xml:space="preserve"> </w:t>
      </w:r>
      <w:r>
        <w:t xml:space="preserve">wrappers, which contain no analysis logic and are exercised by the browser-based</w:t>
      </w:r>
      <w:r>
        <w:t xml:space="preserve"> </w:t>
      </w:r>
      <w:r>
        <w:t xml:space="preserve">integration test.</w:t>
      </w:r>
    </w:p>
    <w:p>
      <w:pPr>
        <w:pStyle w:val="BodyText"/>
      </w:pPr>
      <w:r>
        <w:t xml:space="preserve">Beyond these checks, exporting any session also yields a Methods paragraph and a</w:t>
      </w:r>
      <w:r>
        <w:t xml:space="preserve"> </w:t>
      </w:r>
      <w:r>
        <w:t xml:space="preserve">self-contained HTML report, so a reference analysis is recoverable, documented,</w:t>
      </w:r>
      <w:r>
        <w:t xml:space="preserve"> </w:t>
      </w:r>
      <w:r>
        <w:t xml:space="preserve">and shareable as a single file.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/figure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Differential expression and functional enrichment on a known study</w:t>
      </w:r>
      <w:r>
        <w:rPr>
          <w:b/>
          <w:bCs/>
        </w:rPr>
        <w:t xml:space="preserve"> </w:t>
      </w:r>
      <w:r>
        <w:rPr>
          <w:b/>
          <w:bCs/>
        </w:rPr>
        <w:t xml:space="preserve">(airway).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Volcano plot of the dexamethasone-versus-control contrast;</w:t>
      </w:r>
      <w:r>
        <w:t xml:space="preserve"> </w:t>
      </w:r>
      <w:r>
        <w:t xml:space="preserve">canonical glucocorticoid-response genes are the top hits.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MA plot.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P-value distribution.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Heatmap of the top differential genes across</w:t>
      </w:r>
      <w:r>
        <w:t xml:space="preserve"> </w:t>
      </w:r>
      <w:r>
        <w:t xml:space="preserve">samples (annotated by condition).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Gene-set enrichment ridgeline (MSigDB Hallmark): the</w:t>
      </w:r>
      <w:r>
        <w:t xml:space="preserve"> </w:t>
      </w:r>
      <w:r>
        <w:t xml:space="preserve">ranking-metric distribution of the top enriched sets, coloured by normalised</w:t>
      </w:r>
      <w:r>
        <w:t xml:space="preserve"> </w:t>
      </w:r>
      <w:r>
        <w:t xml:space="preserve">enrichment score.</w:t>
      </w:r>
      <w:r>
        <w:t xml:space="preserve"> </w:t>
      </w:r>
      <w:r>
        <w:rPr>
          <w:b/>
          <w:bCs/>
        </w:rPr>
        <w:t xml:space="preserve">(F)</w:t>
      </w:r>
      <w:r>
        <w:t xml:space="preserve"> </w:t>
      </w:r>
      <w:r>
        <w:t xml:space="preserve">Over-representation analysis against Gene Ontology (biological process).</w:t>
      </w:r>
    </w:p>
    <w:p>
      <w:pPr>
        <w:pStyle w:val="BodyText"/>
      </w:pPr>
      <w:r>
        <w:drawing>
          <wp:inline>
            <wp:extent cx="5334000" cy="281516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/figure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Molecular characterisation of the TCGA pan-cancer cohort.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Per-sample GSVA Hallmark signature scores for the 120 tumours (columns</w:t>
      </w:r>
      <w:r>
        <w:t xml:space="preserve"> </w:t>
      </w:r>
      <w:r>
        <w:t xml:space="preserve">annotated by cancer type; both axes hierarchically clustered), the tumours</w:t>
      </w:r>
      <w:r>
        <w:t xml:space="preserve"> </w:t>
      </w:r>
      <w:r>
        <w:t xml:space="preserve">grouping by type.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Principal-component analysis coloured by cancer type.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WGCNA scale-free soft-threshold selection.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WGCNA module–trait</w:t>
      </w:r>
      <w:r>
        <w:t xml:space="preserve"> </w:t>
      </w:r>
      <w:r>
        <w:t xml:space="preserve">correlation between module eigengenes and cancer type.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Functional</w:t>
      </w:r>
      <w:r>
        <w:t xml:space="preserve"> </w:t>
      </w:r>
      <w:r>
        <w:t xml:space="preserve">enrichment (GO biological process) of the co-expression modules.</w:t>
      </w:r>
    </w:p>
    <w:p>
      <w:pPr>
        <w:pStyle w:val="BodyText"/>
      </w:pPr>
      <w:r>
        <w:drawing>
          <wp:inline>
            <wp:extent cx="5334000" cy="281516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s/figure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Multi-contrast comparison across cancer types (TCGA).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Grid of pairwise volcano plots for representative contrasts.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UpSet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Venn views of the overlap between significant-gene sets across</w:t>
      </w:r>
      <w:r>
        <w:t xml:space="preserve"> </w:t>
      </w:r>
      <w:r>
        <w:t xml:space="preserve">contrasts.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Log-fold-change heatmap of genes across contrasts.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Alluvial diagram of up-/down-/not-significant transitions across</w:t>
      </w:r>
      <w:r>
        <w:t xml:space="preserve"> </w:t>
      </w:r>
      <w:r>
        <w:t xml:space="preserve">contrasts.</w:t>
      </w:r>
    </w:p>
    <w:p>
      <w:pPr>
        <w:pStyle w:val="BodyText"/>
      </w:pPr>
      <w:r>
        <w:drawing>
          <wp:inline>
            <wp:extent cx="5334000" cy="1752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figure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 Validation of correctness and reproducibility.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Log-fold-</w:t>
      </w:r>
      <w:r>
        <w:t xml:space="preserve"> </w:t>
      </w:r>
      <w:r>
        <w:t xml:space="preserve">changes for the airway analysis re-run from the exported R script versus the</w:t>
      </w:r>
      <w:r>
        <w:t xml:space="preserve"> </w:t>
      </w:r>
      <w:r>
        <w:t xml:space="preserve">original interactive run (identical;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1.000).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Log-fold-changes for a</w:t>
      </w:r>
      <w:r>
        <w:t xml:space="preserve"> </w:t>
      </w:r>
      <w:r>
        <w:t xml:space="preserve">TCGA contrast extracted from the single all-pairwise fit versus an independent</w:t>
      </w:r>
      <w:r>
        <w:t xml:space="preserve"> </w:t>
      </w:r>
      <w:r>
        <w:t xml:space="preserve">DESeq2 fit (identical;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1.000).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RNAflow (DESeq2) versus an</w:t>
      </w:r>
      <w:r>
        <w:t xml:space="preserve"> </w:t>
      </w:r>
      <w:r>
        <w:t xml:space="preserve">independent limma-voom analysis of the airway data (Pearson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0.97, Spearman</w:t>
      </w:r>
      <w:r>
        <w:t xml:space="preserve"> </w:t>
      </w:r>
      <w:r>
        <w:rPr>
          <w:i/>
          <w:iCs/>
        </w:rPr>
        <w:t xml:space="preserve">rho</w:t>
      </w:r>
      <w:r>
        <w:t xml:space="preserve"> </w:t>
      </w:r>
      <w:r>
        <w:t xml:space="preserve">= 0.99). Dashed line,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x</w:t>
      </w:r>
      <w:r>
        <w:t xml:space="preserve">.</w:t>
      </w:r>
    </w:p>
    <w:bookmarkEnd w:id="47"/>
    <w:bookmarkStart w:id="48" w:name="comparison-with-existing-tools"/>
    <w:p>
      <w:pPr>
        <w:pStyle w:val="Heading3"/>
      </w:pPr>
      <w:r>
        <w:t xml:space="preserve">Comparison with existing tools</w:t>
      </w:r>
    </w:p>
    <w:p>
      <w:pPr>
        <w:pStyle w:val="FirstParagraph"/>
      </w:pPr>
      <w:r>
        <w:t xml:space="preserve">RNAflow’s contribution is not a new statistical method but an integration: it</w:t>
      </w:r>
      <w:r>
        <w:t xml:space="preserve"> </w:t>
      </w:r>
      <w:r>
        <w:t xml:space="preserve">brings the standard, best-in-class methods for each analysis step into one</w:t>
      </w:r>
      <w:r>
        <w:t xml:space="preserve"> </w:t>
      </w:r>
      <w:r>
        <w:t xml:space="preserve">coherent, reproducible, and properly engineered tool. Table 3 summarises how its</w:t>
      </w:r>
      <w:r>
        <w:t xml:space="preserve"> </w:t>
      </w:r>
      <w:r>
        <w:t xml:space="preserve">scope compares with representative interactive RNA-seq applications, and we</w:t>
      </w:r>
      <w:r>
        <w:t xml:space="preserve"> </w:t>
      </w:r>
      <w:r>
        <w:t xml:space="preserve">discuss each in turn below.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Feature comparison with three broad interactive bulk RNA-seq tools</w:t>
      </w:r>
      <w:r>
        <w:t xml:space="preserve"> </w:t>
      </w:r>
      <w:r>
        <w:t xml:space="preserve">of comparable scope.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= present;</w:t>
      </w:r>
      <w:r>
        <w:t xml:space="preserve"> </w:t>
      </w:r>
      <w:r>
        <w:rPr>
          <w:b/>
          <w:bCs/>
        </w:rPr>
        <w:t xml:space="preserve">~</w:t>
      </w:r>
      <w:r>
        <w:t xml:space="preserve"> </w:t>
      </w:r>
      <w:r>
        <w:t xml:space="preserve">= partial or via a related feature;</w:t>
      </w:r>
      <w:r>
        <w:t xml:space="preserve"> </w:t>
      </w:r>
      <w:r>
        <w:rPr>
          <w:b/>
          <w:bCs/>
        </w:rPr>
        <w:t xml:space="preserve">–</w:t>
      </w:r>
      <w:r>
        <w:t xml:space="preserve"> </w:t>
      </w:r>
      <w:r>
        <w:t xml:space="preserve">= not a focus. Compiled from each tool’s primary publication and</w:t>
      </w:r>
      <w:r>
        <w:t xml:space="preserve"> </w:t>
      </w:r>
      <w:r>
        <w:t xml:space="preserve">documentation; feature sets evolve.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DEBrowser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ExpressAnalyst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RNAflow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expression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/ diagnostics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/ dimensionality reduction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Multi-contrast 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enrichment (GSEA + ORA)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Co-expression networks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 / pathway activity inference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Per-sample signatures (GSVA / ssGSEA)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AI-assisted interpretation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script / report 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Tested, reusable R / Bioconductor 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locally / offline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</w:tbl>
    <w:p>
      <w:pPr>
        <w:pStyle w:val="BodyText"/>
      </w:pPr>
      <w:r>
        <w:t xml:space="preserve">We compare against three broad, well-established interactive tools whose scope is</w:t>
      </w:r>
      <w:r>
        <w:t xml:space="preserve"> </w:t>
      </w:r>
      <w:r>
        <w:t xml:space="preserve">comparable to RNAflow’s, verified against their primary publications and</w:t>
      </w:r>
      <w:r>
        <w:t xml:space="preserve"> </w:t>
      </w:r>
      <w:r>
        <w:t xml:space="preserve">documentation.</w:t>
      </w:r>
      <w:r>
        <w:t xml:space="preserve"> </w:t>
      </w:r>
      <w:r>
        <w:rPr>
          <w:b/>
          <w:bCs/>
        </w:rPr>
        <w:t xml:space="preserve">iDEP</w:t>
      </w:r>
      <w:r>
        <w:t xml:space="preserve"> </w:t>
      </w:r>
      <w:r>
        <w:t xml:space="preserve">(</w:t>
      </w:r>
      <w:hyperlink w:anchor="ref-idep">
        <w:r>
          <w:rPr>
            <w:rStyle w:val="Hyperlink"/>
          </w:rPr>
          <w:t xml:space="preserve">Ge et al. 2018</w:t>
        </w:r>
      </w:hyperlink>
      <w:r>
        <w:t xml:space="preserve">)</w:t>
      </w:r>
      <w:r>
        <w:t xml:space="preserve"> </w:t>
      </w:r>
      <w:r>
        <w:t xml:space="preserve">is among the most complete: from a count matrix it</w:t>
      </w:r>
      <w:r>
        <w:t xml:space="preserve"> </w:t>
      </w:r>
      <w:r>
        <w:t xml:space="preserve">performs exploratory analysis (hierarchical and k-means clustering, PCA),</w:t>
      </w:r>
      <w:r>
        <w:t xml:space="preserve"> </w:t>
      </w:r>
      <w:r>
        <w:t xml:space="preserve">differential expression, GSEA and GO/KEGG pathway analysis, and co-expression</w:t>
      </w:r>
      <w:r>
        <w:t xml:space="preserve"> </w:t>
      </w:r>
      <w:r>
        <w:t xml:space="preserve">network analysis across 220 species, and its workflow can be re-run from</w:t>
      </w:r>
      <w:r>
        <w:t xml:space="preserve"> </w:t>
      </w:r>
      <w:r>
        <w:t xml:space="preserve">downloadable R code — it is used mainly as a hosted web service (though also</w:t>
      </w:r>
      <w:r>
        <w:t xml:space="preserve"> </w:t>
      </w:r>
      <w:r>
        <w:t xml:space="preserve">available as the idepGolem R package for local installation), with its code</w:t>
      </w:r>
      <w:r>
        <w:t xml:space="preserve"> </w:t>
      </w:r>
      <w:r>
        <w:t xml:space="preserve">organised around the application rather than as a documented, unit-tested analysis</w:t>
      </w:r>
      <w:r>
        <w:t xml:space="preserve"> </w:t>
      </w:r>
      <w:r>
        <w:t xml:space="preserve">API.</w:t>
      </w:r>
      <w:r>
        <w:t xml:space="preserve"> </w:t>
      </w:r>
      <w:r>
        <w:rPr>
          <w:b/>
          <w:bCs/>
        </w:rPr>
        <w:t xml:space="preserve">DEBrowser</w:t>
      </w:r>
      <w:r>
        <w:t xml:space="preserve"> </w:t>
      </w:r>
      <w:r>
        <w:t xml:space="preserve">(</w:t>
      </w:r>
      <w:hyperlink w:anchor="ref-debrowser">
        <w:r>
          <w:rPr>
            <w:rStyle w:val="Hyperlink"/>
          </w:rPr>
          <w:t xml:space="preserve">Kucukural et al. 2019</w:t>
        </w:r>
      </w:hyperlink>
      <w:r>
        <w:t xml:space="preserve">)</w:t>
      </w:r>
      <w:r>
        <w:t xml:space="preserve"> </w:t>
      </w:r>
      <w:r>
        <w:t xml:space="preserve">is a polished Bioconductor/Shiny tool centred on</w:t>
      </w:r>
      <w:r>
        <w:t xml:space="preserve"> </w:t>
      </w:r>
      <w:r>
        <w:t xml:space="preserve">interactive differential expression (DESeq2, edgeR, limma), with quality-control</w:t>
      </w:r>
      <w:r>
        <w:t xml:space="preserve"> </w:t>
      </w:r>
      <w:r>
        <w:t xml:space="preserve">diagnostics, PCA, heatmaps, multi-condition comparison, batch-effect correction</w:t>
      </w:r>
      <w:r>
        <w:t xml:space="preserve"> </w:t>
      </w:r>
      <w:r>
        <w:t xml:space="preserve">(ComBat/Harman), and GO/GSEA enrichment; it does not target co-expression</w:t>
      </w:r>
      <w:r>
        <w:t xml:space="preserve"> </w:t>
      </w:r>
      <w:r>
        <w:t xml:space="preserve">networks, activity inference, or per-sample signatures.</w:t>
      </w:r>
      <w:r>
        <w:t xml:space="preserve"> </w:t>
      </w:r>
      <w:r>
        <w:rPr>
          <w:b/>
          <w:bCs/>
        </w:rPr>
        <w:t xml:space="preserve">ExpressAnalyst</w:t>
      </w:r>
      <w:r>
        <w:t xml:space="preserve"> </w:t>
      </w:r>
      <w:r>
        <w:t xml:space="preserve">(</w:t>
      </w:r>
      <w:hyperlink w:anchor="ref-expressanalyst">
        <w:r>
          <w:rPr>
            <w:rStyle w:val="Hyperlink"/>
          </w:rPr>
          <w:t xml:space="preserve">Ewald et al. 2023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r>
        <w:t xml:space="preserve">broad web platform spanning read quantification, differential expression,</w:t>
      </w:r>
      <w:r>
        <w:t xml:space="preserve"> </w:t>
      </w:r>
      <w:r>
        <w:t xml:space="preserve">functional enrichment, interaction- and regulatory-network analysis, and</w:t>
      </w:r>
      <w:r>
        <w:t xml:space="preserve"> </w:t>
      </w:r>
      <w:r>
        <w:t xml:space="preserve">cross-species meta-analysis, with a companion ExpressAnalystR package and a</w:t>
      </w:r>
      <w:r>
        <w:t xml:space="preserve"> </w:t>
      </w:r>
      <w:r>
        <w:t xml:space="preserve">downloadable R command history for reproducibility; its network emphasis is on</w:t>
      </w:r>
      <w:r>
        <w:t xml:space="preserve"> </w:t>
      </w:r>
      <w:r>
        <w:t xml:space="preserve">interaction networks rather than WGCNA co-expression, and it does not provide</w:t>
      </w:r>
      <w:r>
        <w:t xml:space="preserve"> </w:t>
      </w:r>
      <w:r>
        <w:t xml:space="preserve">per-sample GSVA signatures.</w:t>
      </w:r>
    </w:p>
    <w:p>
      <w:pPr>
        <w:pStyle w:val="BodyText"/>
      </w:pPr>
      <w:r>
        <w:t xml:space="preserve">Beyond these broad tools, two excellent</w:t>
      </w:r>
      <w:r>
        <w:t xml:space="preserve"> </w:t>
      </w:r>
      <w:r>
        <w:rPr>
          <w:i/>
          <w:iCs/>
        </w:rPr>
        <w:t xml:space="preserve">focused</w:t>
      </w:r>
      <w:r>
        <w:t xml:space="preserve"> </w:t>
      </w:r>
      <w:r>
        <w:t xml:space="preserve">applications are worth noting</w:t>
      </w:r>
      <w:r>
        <w:t xml:space="preserve"> </w:t>
      </w:r>
      <w:r>
        <w:t xml:space="preserve">but are not directly comparable on a full-workflow feature matrix, because each</w:t>
      </w:r>
      <w:r>
        <w:t xml:space="preserve"> </w:t>
      </w:r>
      <w:r>
        <w:t xml:space="preserve">deliberately covers a single stage:</w:t>
      </w:r>
      <w:r>
        <w:t xml:space="preserve"> </w:t>
      </w:r>
      <w:r>
        <w:rPr>
          <w:b/>
          <w:bCs/>
        </w:rPr>
        <w:t xml:space="preserve">pcaExplorer</w:t>
      </w:r>
      <w:r>
        <w:t xml:space="preserve"> </w:t>
      </w:r>
      <w:r>
        <w:t xml:space="preserve">(</w:t>
      </w:r>
      <w:hyperlink w:anchor="ref-pcaexplorer">
        <w:r>
          <w:rPr>
            <w:rStyle w:val="Hyperlink"/>
          </w:rPr>
          <w:t xml:space="preserve">Marini and Binder 2019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principal-component exploration and the functional annotation of components, and</w:t>
      </w:r>
      <w:r>
        <w:t xml:space="preserve"> </w:t>
      </w:r>
      <w:r>
        <w:rPr>
          <w:b/>
          <w:bCs/>
        </w:rPr>
        <w:t xml:space="preserve">GeneTonic</w:t>
      </w:r>
      <w:r>
        <w:t xml:space="preserve"> </w:t>
      </w:r>
      <w:r>
        <w:t xml:space="preserve">(</w:t>
      </w:r>
      <w:hyperlink w:anchor="ref-genetonic">
        <w:r>
          <w:rPr>
            <w:rStyle w:val="Hyperlink"/>
          </w:rPr>
          <w:t xml:space="preserve">Marini et al. 2021</w:t>
        </w:r>
      </w:hyperlink>
      <w:r>
        <w:t xml:space="preserve">)</w:t>
      </w:r>
      <w:r>
        <w:t xml:space="preserve"> </w:t>
      </w:r>
      <w:r>
        <w:t xml:space="preserve">for the interpretation step, fusing a DESeq2 result and</w:t>
      </w:r>
      <w:r>
        <w:t xml:space="preserve"> </w:t>
      </w:r>
      <w:r>
        <w:t xml:space="preserve">an enrichment result into a linked interface with a reproducible R Markdown report.</w:t>
      </w:r>
    </w:p>
    <w:p>
      <w:pPr>
        <w:pStyle w:val="BodyText"/>
      </w:pPr>
      <w:r>
        <w:t xml:space="preserve">Against this backdrop RNAflow is not</w:t>
      </w:r>
      <w:r>
        <w:t xml:space="preserve"> </w:t>
      </w:r>
      <w:r>
        <w:t xml:space="preserve">“better”</w:t>
      </w:r>
      <w:r>
        <w:t xml:space="preserve"> </w:t>
      </w:r>
      <w:r>
        <w:t xml:space="preserve">at any single step (Table 3). Some</w:t>
      </w:r>
      <w:r>
        <w:t xml:space="preserve"> </w:t>
      </w:r>
      <w:r>
        <w:t xml:space="preserve">capabilities are shared: iDEP and ExpressAnalyst also span much of the workflow</w:t>
      </w:r>
      <w:r>
        <w:t xml:space="preserve"> </w:t>
      </w:r>
      <w:r>
        <w:t xml:space="preserve">and export reproducible R code. What distinguishes RNAflow is the</w:t>
      </w:r>
      <w:r>
        <w:t xml:space="preserve"> </w:t>
      </w:r>
      <w:r>
        <w:rPr>
          <w:i/>
          <w:iCs/>
        </w:rP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three things at once. First, it carries the full downstream workflow on one loaded</w:t>
      </w:r>
      <w:r>
        <w:t xml:space="preserve"> </w:t>
      </w:r>
      <w:r>
        <w:t xml:space="preserve">dataset, including methods rarely integrated into an interactive tool:</w:t>
      </w:r>
      <w:r>
        <w:t xml:space="preserve"> </w:t>
      </w:r>
      <w:r>
        <w:rPr>
          <w:b/>
          <w:bCs/>
        </w:rPr>
        <w:t xml:space="preserve">per-sample gene-set signatures (GSVA / ssGSEA)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AI-assisted</w:t>
      </w:r>
      <w:r>
        <w:rPr>
          <w:b/>
          <w:bCs/>
        </w:rPr>
        <w:t xml:space="preserve"> </w:t>
      </w:r>
      <w:r>
        <w:rPr>
          <w:b/>
          <w:bCs/>
        </w:rPr>
        <w:t xml:space="preserve">interpretation</w:t>
      </w:r>
      <w:r>
        <w:t xml:space="preserve">, which none of the compared tools provide, together with</w:t>
      </w:r>
      <w:r>
        <w:t xml:space="preserve"> </w:t>
      </w:r>
      <w:r>
        <w:rPr>
          <w:b/>
          <w:bCs/>
        </w:rPr>
        <w:t xml:space="preserve">regulator and pathway activity inference (decoupleR / PROGENy)</w:t>
      </w:r>
      <w:r>
        <w:t xml:space="preserve"> </w:t>
      </w:r>
      <w:r>
        <w:t xml:space="preserve">and</w:t>
      </w:r>
      <w:r>
        <w:t xml:space="preserve"> </w:t>
      </w:r>
      <w:r>
        <w:t xml:space="preserve">co-expression networks, which the others cover only partially if at all. Second, it makes reproducible export</w:t>
      </w:r>
      <w:r>
        <w:t xml:space="preserve"> </w:t>
      </w:r>
      <w:r>
        <w:t xml:space="preserve">comprehensive, emitting a runnable R script, a Methods paragraph, and a</w:t>
      </w:r>
      <w:r>
        <w:t xml:space="preserve"> </w:t>
      </w:r>
      <w:r>
        <w:t xml:space="preserve">self-contained report together. Third, it is engineered as a tested, reusable R</w:t>
      </w:r>
      <w:r>
        <w:t xml:space="preserve"> </w:t>
      </w:r>
      <w:r>
        <w:t xml:space="preserve">package that runs entirely locally, so its functions can be scripted and</w:t>
      </w:r>
      <w:r>
        <w:t xml:space="preserve"> </w:t>
      </w:r>
      <w:r>
        <w:t xml:space="preserve">unit-tested independently of the interface and no data leave the user’s machine.</w:t>
      </w:r>
      <w:r>
        <w:t xml:space="preserve"> </w:t>
      </w:r>
      <w:r>
        <w:t xml:space="preserve">Where existing tools optimise one or two of breadth, reproducibility, and software</w:t>
      </w:r>
      <w:r>
        <w:t xml:space="preserve"> </w:t>
      </w:r>
      <w:r>
        <w:t xml:space="preserve">engineering, RNAflow aims to hold all three at once for the common case of a</w:t>
      </w:r>
      <w:r>
        <w:t xml:space="preserve"> </w:t>
      </w:r>
      <w:r>
        <w:t xml:space="preserve">single laboratory with a count matrix.</w:t>
      </w:r>
    </w:p>
    <w:bookmarkEnd w:id="48"/>
    <w:bookmarkStart w:id="49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design has clear limitations, which we state plainly. RNAflow analyses</w:t>
      </w:r>
      <w:r>
        <w:t xml:space="preserve"> </w:t>
      </w:r>
      <w:r>
        <w:rPr>
          <w:b/>
          <w:bCs/>
        </w:rPr>
        <w:t xml:space="preserve">bulk</w:t>
      </w:r>
      <w:r>
        <w:t xml:space="preserve"> </w:t>
      </w:r>
      <w:r>
        <w:t xml:space="preserve">RNA-seq only; it is not intended for single-cell or spatial</w:t>
      </w:r>
      <w:r>
        <w:t xml:space="preserve"> </w:t>
      </w:r>
      <w:r>
        <w:t xml:space="preserve">transcriptomics, which have different statistical and visualisation needs. It</w:t>
      </w:r>
      <w:r>
        <w:t xml:space="preserve"> </w:t>
      </w:r>
      <w:r>
        <w:t xml:space="preserve">starts from a</w:t>
      </w:r>
      <w:r>
        <w:t xml:space="preserve"> </w:t>
      </w:r>
      <w:r>
        <w:rPr>
          <w:b/>
          <w:bCs/>
        </w:rPr>
        <w:t xml:space="preserve">count matrix</w:t>
      </w:r>
      <w:r>
        <w:t xml:space="preserve"> </w:t>
      </w:r>
      <w:r>
        <w:t xml:space="preserve">and does not perform read alignment or</w:t>
      </w:r>
      <w:r>
        <w:t xml:space="preserve"> </w:t>
      </w:r>
      <w:r>
        <w:t xml:space="preserve">quantification, which must be carried out upstream with dedicated tools. Its</w:t>
      </w:r>
      <w:r>
        <w:t xml:space="preserve"> </w:t>
      </w:r>
      <w:r>
        <w:t xml:space="preserve">outputs are</w:t>
      </w:r>
      <w:r>
        <w:t xml:space="preserve"> </w:t>
      </w:r>
      <w:r>
        <w:rPr>
          <w:b/>
          <w:bCs/>
        </w:rPr>
        <w:t xml:space="preserve">exploratory and hypothesis-generating</w:t>
      </w:r>
      <w:r>
        <w:t xml:space="preserve">: WGCNA modules are most</w:t>
      </w:r>
      <w:r>
        <w:t xml:space="preserve"> </w:t>
      </w:r>
      <w:r>
        <w:t xml:space="preserve">reliable with larger sample sizes and should be treated as hypotheses for small</w:t>
      </w:r>
      <w:r>
        <w:t xml:space="preserve"> </w:t>
      </w:r>
      <w:r>
        <w:t xml:space="preserve">cohorts; enrichment, activity, and signature results carry the usual gene-set and</w:t>
      </w:r>
      <w:r>
        <w:t xml:space="preserve"> </w:t>
      </w:r>
      <w:r>
        <w:t xml:space="preserve">prior-knowledge biases and require independent validation; the all-pairwise mode</w:t>
      </w:r>
      <w:r>
        <w:t xml:space="preserve"> </w:t>
      </w:r>
      <w:r>
        <w:t xml:space="preserve">multiplies the number of tests and should be interpreted with that in mind; and</w:t>
      </w:r>
      <w:r>
        <w:t xml:space="preserve"> </w:t>
      </w:r>
      <w:r>
        <w:t xml:space="preserve">the optional AI interpretation is a drafting aid whose statements can be wrong and</w:t>
      </w:r>
      <w:r>
        <w:t xml:space="preserve"> </w:t>
      </w:r>
      <w:r>
        <w:t xml:space="preserve">must be checked. More broadly, RNAflow is a tool for competent exploratory</w:t>
      </w:r>
      <w:r>
        <w:t xml:space="preserve"> </w:t>
      </w:r>
      <w:r>
        <w:t xml:space="preserve">analysis, not a substitute for expert statistical review of experimental design,</w:t>
      </w:r>
      <w:r>
        <w:t xml:space="preserve"> </w:t>
      </w:r>
      <w:r>
        <w:t xml:space="preserve">batch structure, and model adequacy, which remain the responsibility of the</w:t>
      </w:r>
      <w:r>
        <w:t xml:space="preserve"> </w:t>
      </w:r>
      <w:r>
        <w:t xml:space="preserve">analyst. Finally, because several enrichment and activity resources are fetched</w:t>
      </w:r>
      <w:r>
        <w:t xml:space="preserve"> </w:t>
      </w:r>
      <w:r>
        <w:t xml:space="preserve">from live databases, full offline use is limited to the steps that do not require</w:t>
      </w:r>
      <w:r>
        <w:t xml:space="preserve"> </w:t>
      </w:r>
      <w:r>
        <w:t xml:space="preserve">them.</w:t>
      </w:r>
    </w:p>
    <w:bookmarkEnd w:id="49"/>
    <w:bookmarkStart w:id="50" w:name="future-directions"/>
    <w:p>
      <w:pPr>
        <w:pStyle w:val="Heading3"/>
      </w:pPr>
      <w:r>
        <w:t xml:space="preserve">Future directions</w:t>
      </w:r>
    </w:p>
    <w:p>
      <w:pPr>
        <w:pStyle w:val="FirstParagraph"/>
      </w:pPr>
      <w:r>
        <w:t xml:space="preserve">Planned directions include broader organism support beyond human, mouse, and rat;</w:t>
      </w:r>
      <w:r>
        <w:t xml:space="preserve"> </w:t>
      </w:r>
      <w:r>
        <w:t xml:space="preserve">a publicly hosted live demonstration instance; additional visualisation types;</w:t>
      </w:r>
      <w:r>
        <w:t xml:space="preserve"> </w:t>
      </w:r>
      <w:r>
        <w:t xml:space="preserve">and a plugin mechanism so that alternative differential-expression or enrichment</w:t>
      </w:r>
      <w:r>
        <w:t xml:space="preserve"> </w:t>
      </w:r>
      <w:r>
        <w:t xml:space="preserve">back-ends can be added without touching the interface. Because the analysis core</w:t>
      </w:r>
      <w:r>
        <w:t xml:space="preserve"> </w:t>
      </w:r>
      <w:r>
        <w:t xml:space="preserve">is a tested, standalone function layer, such extensions can be developed and</w:t>
      </w:r>
      <w:r>
        <w:t xml:space="preserve"> </w:t>
      </w:r>
      <w:r>
        <w:t xml:space="preserve">validated independently of the application.</w:t>
      </w:r>
    </w:p>
    <w:bookmarkEnd w:id="50"/>
    <w:bookmarkEnd w:id="51"/>
    <w:bookmarkStart w:id="52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RNAflow provides a complete, integrated, and reproducible route from a bulk</w:t>
      </w:r>
      <w:r>
        <w:t xml:space="preserve"> </w:t>
      </w:r>
      <w:r>
        <w:t xml:space="preserve">RNA-seq count matrix to differential expression and multi-layered functional</w:t>
      </w:r>
      <w:r>
        <w:t xml:space="preserve"> </w:t>
      </w:r>
      <w:r>
        <w:t xml:space="preserve">interpretation, packaged as a tested R library with a thin Shiny interface. By</w:t>
      </w:r>
      <w:r>
        <w:t xml:space="preserve"> </w:t>
      </w:r>
      <w:r>
        <w:t xml:space="preserve">treating breadth of analysis, reproducible export, and clean software engineering</w:t>
      </w:r>
      <w:r>
        <w:t xml:space="preserve"> </w:t>
      </w:r>
      <w:r>
        <w:t xml:space="preserve">as primary design goals rather than afterthoughts, it offers the accessibility of</w:t>
      </w:r>
      <w:r>
        <w:t xml:space="preserve"> </w:t>
      </w:r>
      <w:r>
        <w:t xml:space="preserve">an interactive application without sacrificing the transparency of a scripted</w:t>
      </w:r>
      <w:r>
        <w:t xml:space="preserve"> </w:t>
      </w:r>
      <w:r>
        <w:t xml:space="preserve">analysis. We hope it will be useful both as a day-to-day analysis tool for</w:t>
      </w:r>
      <w:r>
        <w:t xml:space="preserve"> </w:t>
      </w:r>
      <w:r>
        <w:t xml:space="preserve">individual laboratories and as a well-structured codebase that others can extend.</w:t>
      </w:r>
    </w:p>
    <w:bookmarkEnd w:id="52"/>
    <w:bookmarkStart w:id="54" w:name="availability-and-requirements"/>
    <w:p>
      <w:pPr>
        <w:pStyle w:val="Heading2"/>
      </w:pPr>
      <w:r>
        <w:t xml:space="preserve">Availability and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RNAflow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home page:</w:t>
      </w:r>
      <w:r>
        <w:t xml:space="preserve"> </w:t>
      </w:r>
      <w:hyperlink r:id="rId9">
        <w:r>
          <w:rPr>
            <w:rStyle w:val="Hyperlink"/>
          </w:rPr>
          <w:t xml:space="preserve">https://github.com/KmBioChemo/RNAflow</w:t>
        </w:r>
      </w:hyperlink>
      <w:r>
        <w:t xml:space="preserve"> </w:t>
      </w:r>
      <w:r>
        <w:t xml:space="preserve">(documentation:</w:t>
      </w:r>
      <w:r>
        <w:t xml:space="preserve"> </w:t>
      </w:r>
      <w:hyperlink r:id="rId53">
        <w:r>
          <w:rPr>
            <w:rStyle w:val="Hyperlink"/>
          </w:rPr>
          <w:t xml:space="preserve">https://KmBioChemo.github.io/RNAflow/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Archived version:</w:t>
      </w:r>
      <w:r>
        <w:t xml:space="preserve"> </w:t>
      </w:r>
      <w:r>
        <w:rPr>
          <w:i/>
          <w:iCs/>
        </w:rPr>
        <w:t xml:space="preserve">TODO: Zenodo DOI (minted at release).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systems:</w:t>
      </w:r>
      <w:r>
        <w:t xml:space="preserve"> </w:t>
      </w:r>
      <w:r>
        <w:t xml:space="preserve">platform-independent (Linux, macOS, Windows); a Docker</w:t>
      </w:r>
      <w:r>
        <w:t xml:space="preserve"> </w:t>
      </w:r>
      <w:r>
        <w:t xml:space="preserve">image is provided.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 language:</w:t>
      </w:r>
      <w:r>
        <w:t xml:space="preserve"> </w:t>
      </w:r>
      <w:r>
        <w:t xml:space="preserve">R (&gt;= 4.4; developed and tested against R 4.5 /</w:t>
      </w:r>
      <w:r>
        <w:t xml:space="preserve"> </w:t>
      </w:r>
      <w:r>
        <w:t xml:space="preserve">Bioconductor 3.22).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requirements:</w:t>
      </w:r>
      <w:r>
        <w:t xml:space="preserve"> </w:t>
      </w:r>
      <w:r>
        <w:t xml:space="preserve">DESeq2, fgsea, clusterProfiler, WGCNA, GSVA, decoupleR,</w:t>
      </w:r>
      <w:r>
        <w:t xml:space="preserve"> </w:t>
      </w:r>
      <w:r>
        <w:t xml:space="preserve">and related Bioconductor packages (installed automatically or via the provided</w:t>
      </w:r>
      <w:r>
        <w:t xml:space="preserve"> </w:t>
      </w:r>
      <w:r>
        <w:t xml:space="preserve">Docker image).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Licence:</w:t>
      </w:r>
      <w:r>
        <w:t xml:space="preserve"> </w:t>
      </w:r>
      <w:r>
        <w:t xml:space="preserve">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 restrictions to use by non-academics:</w:t>
      </w:r>
      <w:r>
        <w:t xml:space="preserve"> </w:t>
      </w:r>
      <w:r>
        <w:t xml:space="preserve">none.</w:t>
      </w:r>
    </w:p>
    <w:bookmarkEnd w:id="54"/>
    <w:bookmarkStart w:id="55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Availability of data and materials.</w:t>
      </w:r>
      <w:r>
        <w:t xml:space="preserve"> </w:t>
      </w:r>
      <w:r>
        <w:t xml:space="preserve">RNAflow and the scripts that generate the</w:t>
      </w:r>
      <w:r>
        <w:t xml:space="preserve"> </w:t>
      </w:r>
      <w:r>
        <w:t xml:space="preserve">bundled demonstration datasets and Figures 2–4 are available at</w:t>
      </w:r>
      <w:r>
        <w:t xml:space="preserve"> </w:t>
      </w:r>
      <w:hyperlink r:id="rId9">
        <w:r>
          <w:rPr>
            <w:rStyle w:val="Hyperlink"/>
          </w:rPr>
          <w:t xml:space="preserve">https://github.com/KmBioChemo/RNAflow</w:t>
        </w:r>
      </w:hyperlink>
      <w:r>
        <w:t xml:space="preserve">. The demonstration datasets are derived</w:t>
      </w:r>
      <w:r>
        <w:t xml:space="preserve"> </w:t>
      </w:r>
      <w:r>
        <w:t xml:space="preserve">from public data: the airway dataset</w:t>
      </w:r>
      <w:r>
        <w:t xml:space="preserve"> </w:t>
      </w:r>
      <w:r>
        <w:t xml:space="preserve">(</w:t>
      </w:r>
      <w:hyperlink w:anchor="ref-airway">
        <w:r>
          <w:rPr>
            <w:rStyle w:val="Hyperlink"/>
          </w:rPr>
          <w:t xml:space="preserve">Himes et al. 2014</w:t>
        </w:r>
      </w:hyperlink>
      <w:r>
        <w:t xml:space="preserve">)</w:t>
      </w:r>
      <w:r>
        <w:t xml:space="preserve"> </w:t>
      </w:r>
      <w:r>
        <w:t xml:space="preserve">and the TCGA pan-cancer subset</w:t>
      </w:r>
      <w:r>
        <w:t xml:space="preserve"> </w:t>
      </w:r>
      <w:r>
        <w:t xml:space="preserve">obtained through GSE62944</w:t>
      </w:r>
      <w:r>
        <w:t xml:space="preserve"> </w:t>
      </w:r>
      <w:r>
        <w:t xml:space="preserve">(</w:t>
      </w:r>
      <w:hyperlink w:anchor="ref-gse62944">
        <w:r>
          <w:rPr>
            <w:rStyle w:val="Hyperlink"/>
          </w:rPr>
          <w:t xml:space="preserve">Rahman et al. 2015</w:t>
        </w:r>
      </w:hyperlink>
      <w:r>
        <w:t xml:space="preserve">;</w:t>
      </w:r>
      <w:r>
        <w:t xml:space="preserve"> </w:t>
      </w:r>
      <w:hyperlink w:anchor="ref-tcga">
        <w:r>
          <w:rPr>
            <w:rStyle w:val="Hyperlink"/>
          </w:rPr>
          <w:t xml:space="preserve">Weinstein et al. 2013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optional AI-interpretation feature queries a</w:t>
      </w:r>
      <w:r>
        <w:t xml:space="preserve"> </w:t>
      </w:r>
      <w:r>
        <w:t xml:space="preserve">third-party large-language-model API using a key that the user supplies; no data</w:t>
      </w:r>
      <w:r>
        <w:t xml:space="preserve"> </w:t>
      </w:r>
      <w:r>
        <w:t xml:space="preserve">are sent unless the user opts in. The author declares no other competing</w:t>
      </w:r>
      <w:r>
        <w:t xml:space="preserve"> </w:t>
      </w:r>
      <w:r>
        <w:t xml:space="preserve">interests.</w:t>
      </w:r>
      <w:r>
        <w:t xml:space="preserve"> </w:t>
      </w:r>
      <w:r>
        <w:rPr>
          <w:i/>
          <w:iCs/>
        </w:rPr>
        <w:t xml:space="preserve">TODO: confirm.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rPr>
          <w:i/>
          <w:iCs/>
        </w:rPr>
        <w:t xml:space="preserve">TODO: funding sources, or</w:t>
      </w:r>
      <w:r>
        <w:rPr>
          <w:i/>
          <w:iCs/>
        </w:rPr>
        <w:t xml:space="preserve"> </w:t>
      </w:r>
      <w:r>
        <w:rPr>
          <w:i/>
          <w:iCs/>
        </w:rPr>
        <w:t xml:space="preserve">“This research received no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grant from any funding agency.”</w:t>
      </w:r>
    </w:p>
    <w:p>
      <w:pPr>
        <w:pStyle w:val="BodyText"/>
      </w:pPr>
      <w:r>
        <w:rPr>
          <w:b/>
          <w:bCs/>
        </w:rPr>
        <w:t xml:space="preserve">Authors’ contributions.</w:t>
      </w:r>
      <w:r>
        <w:t xml:space="preserve"> </w:t>
      </w:r>
      <w:r>
        <w:rPr>
          <w:i/>
          <w:iCs/>
        </w:rPr>
        <w:t xml:space="preserve">TODO: e.g., K.M. conceived, designed, and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implemented the software and wrote the manuscript.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rPr>
          <w:i/>
          <w:iCs/>
        </w:rPr>
        <w:t xml:space="preserve">TODO: acknowledgements, if any. RNAflow builds on the</w:t>
      </w:r>
      <w:r>
        <w:rPr>
          <w:i/>
          <w:iCs/>
        </w:rPr>
        <w:t xml:space="preserve"> </w:t>
      </w:r>
      <w:r>
        <w:rPr>
          <w:i/>
          <w:iCs/>
        </w:rPr>
        <w:t xml:space="preserve">DESeq2, fgsea, clusterProfiler, WGCNA, GSVA, decoupleR, and wider Bioconductor</w:t>
      </w:r>
      <w:r>
        <w:rPr>
          <w:i/>
          <w:iCs/>
        </w:rPr>
        <w:t xml:space="preserve"> </w:t>
      </w:r>
      <w:r>
        <w:rPr>
          <w:i/>
          <w:iCs/>
        </w:rPr>
        <w:t xml:space="preserve">projects, whose authors we thank.</w:t>
      </w:r>
    </w:p>
    <w:bookmarkEnd w:id="55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57" w:name="ref-decoupler"/>
    <w:p>
      <w:pPr>
        <w:pStyle w:val="Bibliography"/>
      </w:pPr>
      <w:r>
        <w:t xml:space="preserve">Badia-i-Mompel, Pau, Jesús Vélez Santiago, Jana Braunger, et al. 2022.</w:t>
      </w:r>
      <w:r>
        <w:t xml:space="preserve"> </w:t>
      </w:r>
      <w:r>
        <w:t xml:space="preserve">“decoupleR: Ensemble of Computational Methods to Infer Biological Activities from Omics Data.”</w:t>
      </w:r>
      <w:r>
        <w:t xml:space="preserve"> </w:t>
      </w:r>
      <w:r>
        <w:rPr>
          <w:i/>
          <w:iCs/>
        </w:rPr>
        <w:t xml:space="preserve">Bioinformatics Advances</w:t>
      </w:r>
      <w:r>
        <w:t xml:space="preserve"> </w:t>
      </w:r>
      <w:r>
        <w:t xml:space="preserve">2 (1): vbac016.</w:t>
      </w:r>
      <w:r>
        <w:t xml:space="preserve"> </w:t>
      </w:r>
      <w:hyperlink r:id="rId56">
        <w:r>
          <w:rPr>
            <w:rStyle w:val="Hyperlink"/>
          </w:rPr>
          <w:t xml:space="preserve">https://doi.org/10.1093/bioadv/vbac016</w:t>
        </w:r>
      </w:hyperlink>
      <w:r>
        <w:t xml:space="preserve">.</w:t>
      </w:r>
    </w:p>
    <w:bookmarkEnd w:id="57"/>
    <w:bookmarkStart w:id="59" w:name="ref-shiny"/>
    <w:p>
      <w:pPr>
        <w:pStyle w:val="Bibliography"/>
      </w:pPr>
      <w:r>
        <w:t xml:space="preserve">Chang, Winston, Joe Cheng, JJ Allaire, et al. 2024.</w:t>
      </w:r>
      <w:r>
        <w:t xml:space="preserve"> </w:t>
      </w:r>
      <w:r>
        <w:rPr>
          <w:i/>
          <w:iCs/>
        </w:rPr>
        <w:t xml:space="preserve">Shiny: Web Application Framework for r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https://shiny.posit.co/</w:t>
        </w:r>
      </w:hyperlink>
      <w:r>
        <w:t xml:space="preserve">.</w:t>
      </w:r>
    </w:p>
    <w:bookmarkEnd w:id="59"/>
    <w:bookmarkStart w:id="61" w:name="ref-upsetr"/>
    <w:p>
      <w:pPr>
        <w:pStyle w:val="Bibliography"/>
      </w:pPr>
      <w:r>
        <w:t xml:space="preserve">Conway, Jake R., Alexander Lex, and Nils Gehlenborg. 2017.</w:t>
      </w:r>
      <w:r>
        <w:t xml:space="preserve"> </w:t>
      </w:r>
      <w:r>
        <w:t xml:space="preserve">“UpSetR: An r Package for the Visualization of Intersecting Sets and Their Properties.”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33 (18): 2938–40.</w:t>
      </w:r>
      <w:r>
        <w:t xml:space="preserve"> </w:t>
      </w:r>
      <w:hyperlink r:id="rId60">
        <w:r>
          <w:rPr>
            <w:rStyle w:val="Hyperlink"/>
          </w:rPr>
          <w:t xml:space="preserve">https://doi.org/10.1093/bioinformatics/btx364</w:t>
        </w:r>
      </w:hyperlink>
      <w:r>
        <w:t xml:space="preserve">.</w:t>
      </w:r>
    </w:p>
    <w:bookmarkEnd w:id="61"/>
    <w:bookmarkStart w:id="63" w:name="ref-msigdbr"/>
    <w:p>
      <w:pPr>
        <w:pStyle w:val="Bibliography"/>
      </w:pPr>
      <w:r>
        <w:t xml:space="preserve">Dolgalev, Igor. 2022.</w:t>
      </w:r>
      <w:r>
        <w:t xml:space="preserve"> </w:t>
      </w:r>
      <w:r>
        <w:rPr>
          <w:i/>
          <w:iCs/>
        </w:rPr>
        <w:t xml:space="preserve">Msigdbr: MSigDB Gene Sets for Multiple Organisms in a Tidy Data Format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https://igordot.github.io/msigdbr/</w:t>
        </w:r>
      </w:hyperlink>
      <w:r>
        <w:t xml:space="preserve">.</w:t>
      </w:r>
    </w:p>
    <w:bookmarkEnd w:id="63"/>
    <w:bookmarkStart w:id="65" w:name="ref-expressanalyst"/>
    <w:p>
      <w:pPr>
        <w:pStyle w:val="Bibliography"/>
      </w:pPr>
      <w:r>
        <w:t xml:space="preserve">Ewald, Jessica, Guangyan Zhou, Yao Lu, and Jianguo Xia. 2023.</w:t>
      </w:r>
      <w:r>
        <w:t xml:space="preserve"> </w:t>
      </w:r>
      <w:r>
        <w:t xml:space="preserve">“Using</w:t>
      </w:r>
      <w:r>
        <w:t xml:space="preserve"> </w:t>
      </w:r>
      <w:r>
        <w:t xml:space="preserve">ExpressAnalyst</w:t>
      </w:r>
      <w:r>
        <w:t xml:space="preserve"> </w:t>
      </w:r>
      <w:r>
        <w:t xml:space="preserve">for Comprehensive Gene Expression Analysis in Model and Non-Model Organisms.”</w:t>
      </w:r>
      <w:r>
        <w:t xml:space="preserve"> </w:t>
      </w:r>
      <w:r>
        <w:rPr>
          <w:i/>
          <w:iCs/>
        </w:rPr>
        <w:t xml:space="preserve">Current Protocols</w:t>
      </w:r>
      <w:r>
        <w:t xml:space="preserve"> </w:t>
      </w:r>
      <w:r>
        <w:t xml:space="preserve">3 (11): e922.</w:t>
      </w:r>
      <w:r>
        <w:t xml:space="preserve"> </w:t>
      </w:r>
      <w:hyperlink r:id="rId64">
        <w:r>
          <w:rPr>
            <w:rStyle w:val="Hyperlink"/>
          </w:rPr>
          <w:t xml:space="preserve">https://doi.org/10.1002/cpz1.922</w:t>
        </w:r>
      </w:hyperlink>
      <w:r>
        <w:t xml:space="preserve">.</w:t>
      </w:r>
    </w:p>
    <w:bookmarkEnd w:id="65"/>
    <w:bookmarkStart w:id="67" w:name="ref-idep"/>
    <w:p>
      <w:pPr>
        <w:pStyle w:val="Bibliography"/>
      </w:pPr>
      <w:r>
        <w:t xml:space="preserve">Ge, Steven Xijin, Eun Wo Son, and Runan Yao. 2018.</w:t>
      </w:r>
      <w:r>
        <w:t xml:space="preserve"> </w:t>
      </w:r>
      <w:r>
        <w:t xml:space="preserve">“iDEP: An Integrated Web Application for Differential Expression and Pathway Analysis of</w:t>
      </w:r>
      <w:r>
        <w:t xml:space="preserve"> </w:t>
      </w:r>
      <w:r>
        <w:t xml:space="preserve">RNA-Seq</w:t>
      </w:r>
      <w:r>
        <w:t xml:space="preserve"> </w:t>
      </w:r>
      <w:r>
        <w:t xml:space="preserve">Data.”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t xml:space="preserve">19: 534.</w:t>
      </w:r>
      <w:r>
        <w:t xml:space="preserve"> </w:t>
      </w:r>
      <w:hyperlink r:id="rId66">
        <w:r>
          <w:rPr>
            <w:rStyle w:val="Hyperlink"/>
          </w:rPr>
          <w:t xml:space="preserve">https://doi.org/10.1186/s12859-018-2486-6</w:t>
        </w:r>
      </w:hyperlink>
      <w:r>
        <w:t xml:space="preserve">.</w:t>
      </w:r>
    </w:p>
    <w:bookmarkEnd w:id="67"/>
    <w:bookmarkStart w:id="69" w:name="ref-complexheatmap"/>
    <w:p>
      <w:pPr>
        <w:pStyle w:val="Bibliography"/>
      </w:pPr>
      <w:r>
        <w:t xml:space="preserve">Gu, Zuguang, Roland Eils, and Matthias Schlesner. 2016.</w:t>
      </w:r>
      <w:r>
        <w:t xml:space="preserve"> </w:t>
      </w:r>
      <w:r>
        <w:t xml:space="preserve">“Complex Heatmaps Reveal Patterns and Correlations in Multidimensional Genomic Data.”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32 (18): 2847–49.</w:t>
      </w:r>
      <w:r>
        <w:t xml:space="preserve"> </w:t>
      </w:r>
      <w:hyperlink r:id="rId68">
        <w:r>
          <w:rPr>
            <w:rStyle w:val="Hyperlink"/>
          </w:rPr>
          <w:t xml:space="preserve">https://doi.org/10.1093/bioinformatics/btw313</w:t>
        </w:r>
      </w:hyperlink>
      <w:r>
        <w:t xml:space="preserve">.</w:t>
      </w:r>
    </w:p>
    <w:bookmarkEnd w:id="69"/>
    <w:bookmarkStart w:id="71" w:name="ref-gsva"/>
    <w:p>
      <w:pPr>
        <w:pStyle w:val="Bibliography"/>
      </w:pPr>
      <w:r>
        <w:t xml:space="preserve">Hänzelmann, Sonja, Robert Castelo, and Justin Guinney. 2013.</w:t>
      </w:r>
      <w:r>
        <w:t xml:space="preserve"> </w:t>
      </w:r>
      <w:r>
        <w:t xml:space="preserve">“GSVA: Gene Set Variation Analysis for Microarray and RNA-Seq Data.”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t xml:space="preserve">14: 7.</w:t>
      </w:r>
      <w:r>
        <w:t xml:space="preserve"> </w:t>
      </w:r>
      <w:hyperlink r:id="rId70">
        <w:r>
          <w:rPr>
            <w:rStyle w:val="Hyperlink"/>
          </w:rPr>
          <w:t xml:space="preserve">https://doi.org/10.1186/1471-2105-14-7</w:t>
        </w:r>
      </w:hyperlink>
      <w:r>
        <w:t xml:space="preserve">.</w:t>
      </w:r>
    </w:p>
    <w:bookmarkEnd w:id="71"/>
    <w:bookmarkStart w:id="73" w:name="ref-airway"/>
    <w:p>
      <w:pPr>
        <w:pStyle w:val="Bibliography"/>
      </w:pPr>
      <w:r>
        <w:t xml:space="preserve">Himes, Blanca E., Xiaofeng Jiang, Peter Wagner, et al. 2014.</w:t>
      </w:r>
      <w:r>
        <w:t xml:space="preserve"> </w:t>
      </w:r>
      <w:r>
        <w:t xml:space="preserve">“</w:t>
      </w:r>
      <w:r>
        <w:t xml:space="preserve">RNA-Seq</w:t>
      </w:r>
      <w:r>
        <w:t xml:space="preserve"> </w:t>
      </w:r>
      <w:r>
        <w:t xml:space="preserve">Transcriptome Profiling Identifies</w:t>
      </w:r>
      <w:r>
        <w:t xml:space="preserve"> </w:t>
      </w:r>
      <w:r>
        <w:t xml:space="preserve">CRISPLD2</w:t>
      </w:r>
      <w:r>
        <w:t xml:space="preserve"> </w:t>
      </w:r>
      <w:r>
        <w:t xml:space="preserve">as a Glucocorticoid Responsive Gene That Modulates Cytokine Function in Airway Smooth Muscle Cells.”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9 (6): e99625.</w:t>
      </w:r>
      <w:r>
        <w:t xml:space="preserve"> </w:t>
      </w:r>
      <w:hyperlink r:id="rId72">
        <w:r>
          <w:rPr>
            <w:rStyle w:val="Hyperlink"/>
          </w:rPr>
          <w:t xml:space="preserve">https://doi.org/10.1371/journal.pone.0099625</w:t>
        </w:r>
      </w:hyperlink>
      <w:r>
        <w:t xml:space="preserve">.</w:t>
      </w:r>
    </w:p>
    <w:bookmarkEnd w:id="73"/>
    <w:bookmarkStart w:id="75" w:name="ref-fgsea"/>
    <w:p>
      <w:pPr>
        <w:pStyle w:val="Bibliography"/>
      </w:pPr>
      <w:r>
        <w:t xml:space="preserve">Korotkevich, Gennady, Vladimir Sukhov, Nikolay Budin, Boris Shpak, Maxim N. Artyomov, and Alexey Sergushichev. 2021.</w:t>
      </w:r>
      <w:r>
        <w:t xml:space="preserve"> </w:t>
      </w:r>
      <w:r>
        <w:t xml:space="preserve">“Fast Gene Set Enrichment Analysis.”</w:t>
      </w:r>
      <w:r>
        <w:t xml:space="preserve"> </w:t>
      </w:r>
      <w:r>
        <w:rPr>
          <w:i/>
          <w:iCs/>
        </w:rPr>
        <w:t xml:space="preserve">bioRxiv</w:t>
      </w:r>
      <w:r>
        <w:t xml:space="preserve">, ahead of print.</w:t>
      </w:r>
      <w:r>
        <w:t xml:space="preserve"> </w:t>
      </w:r>
      <w:hyperlink r:id="rId74">
        <w:r>
          <w:rPr>
            <w:rStyle w:val="Hyperlink"/>
          </w:rPr>
          <w:t xml:space="preserve">https://doi.org/10.1101/060012</w:t>
        </w:r>
      </w:hyperlink>
      <w:r>
        <w:t xml:space="preserve">.</w:t>
      </w:r>
    </w:p>
    <w:bookmarkEnd w:id="75"/>
    <w:bookmarkStart w:id="77" w:name="ref-debrowser"/>
    <w:p>
      <w:pPr>
        <w:pStyle w:val="Bibliography"/>
      </w:pPr>
      <w:r>
        <w:t xml:space="preserve">Kucukural, Alper, Onur Yukselen, Deniz M. Ozata, Melissa J. Moore, and Manuel Garber. 2019.</w:t>
      </w:r>
      <w:r>
        <w:t xml:space="preserve"> </w:t>
      </w:r>
      <w:r>
        <w:t xml:space="preserve">“DEBrowser: Interactive Differential Expression Analysis and Visualization Tool for Count Data.”</w:t>
      </w:r>
      <w:r>
        <w:t xml:space="preserve"> </w:t>
      </w:r>
      <w:r>
        <w:rPr>
          <w:i/>
          <w:iCs/>
        </w:rPr>
        <w:t xml:space="preserve">BMC Genomics</w:t>
      </w:r>
      <w:r>
        <w:t xml:space="preserve"> </w:t>
      </w:r>
      <w:r>
        <w:t xml:space="preserve">20: 6.</w:t>
      </w:r>
      <w:r>
        <w:t xml:space="preserve"> </w:t>
      </w:r>
      <w:hyperlink r:id="rId76">
        <w:r>
          <w:rPr>
            <w:rStyle w:val="Hyperlink"/>
          </w:rPr>
          <w:t xml:space="preserve">https://doi.org/10.1186/s12864-018-5362-x</w:t>
        </w:r>
      </w:hyperlink>
      <w:r>
        <w:t xml:space="preserve">.</w:t>
      </w:r>
    </w:p>
    <w:bookmarkEnd w:id="77"/>
    <w:bookmarkStart w:id="79" w:name="ref-wgcna"/>
    <w:p>
      <w:pPr>
        <w:pStyle w:val="Bibliography"/>
      </w:pPr>
      <w:r>
        <w:t xml:space="preserve">Langfelder, Peter, and Steve Horvath. 2008.</w:t>
      </w:r>
      <w:r>
        <w:t xml:space="preserve"> </w:t>
      </w:r>
      <w:r>
        <w:t xml:space="preserve">“WGCNA: An r Package for Weighted Correlation Network Analysis.”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t xml:space="preserve">9: 559.</w:t>
      </w:r>
      <w:r>
        <w:t xml:space="preserve"> </w:t>
      </w:r>
      <w:hyperlink r:id="rId78">
        <w:r>
          <w:rPr>
            <w:rStyle w:val="Hyperlink"/>
          </w:rPr>
          <w:t xml:space="preserve">https://doi.org/10.1186/1471-2105-9-559</w:t>
        </w:r>
      </w:hyperlink>
      <w:r>
        <w:t xml:space="preserve">.</w:t>
      </w:r>
    </w:p>
    <w:bookmarkEnd w:id="79"/>
    <w:bookmarkStart w:id="81" w:name="ref-hallmark"/>
    <w:p>
      <w:pPr>
        <w:pStyle w:val="Bibliography"/>
      </w:pPr>
      <w:r>
        <w:t xml:space="preserve">Liberzon, Arthur, Chet Birger, Helga Thorvaldsdóttir, Mahmoud Ghandi, Jill P. Mesirov, and Pablo Tamayo. 2015.</w:t>
      </w:r>
      <w:r>
        <w:t xml:space="preserve"> </w:t>
      </w:r>
      <w:r>
        <w:t xml:space="preserve">“The Molecular Signatures Database Hallmark Gene Set Collection.”</w:t>
      </w:r>
      <w:r>
        <w:t xml:space="preserve"> </w:t>
      </w:r>
      <w:r>
        <w:rPr>
          <w:i/>
          <w:iCs/>
        </w:rPr>
        <w:t xml:space="preserve">Cell Systems</w:t>
      </w:r>
      <w:r>
        <w:t xml:space="preserve"> </w:t>
      </w:r>
      <w:r>
        <w:t xml:space="preserve">1 (6): 417–25.</w:t>
      </w:r>
      <w:r>
        <w:t xml:space="preserve"> </w:t>
      </w:r>
      <w:hyperlink r:id="rId80">
        <w:r>
          <w:rPr>
            <w:rStyle w:val="Hyperlink"/>
          </w:rPr>
          <w:t xml:space="preserve">https://doi.org/10.1016/j.cels.2015.12.004</w:t>
        </w:r>
      </w:hyperlink>
      <w:r>
        <w:t xml:space="preserve">.</w:t>
      </w:r>
    </w:p>
    <w:bookmarkEnd w:id="81"/>
    <w:bookmarkStart w:id="83" w:name="ref-deseq2"/>
    <w:p>
      <w:pPr>
        <w:pStyle w:val="Bibliography"/>
      </w:pPr>
      <w:r>
        <w:t xml:space="preserve">Love, Michael I., Wolfgang Huber, and Simon Anders. 2014.</w:t>
      </w:r>
      <w:r>
        <w:t xml:space="preserve"> </w:t>
      </w:r>
      <w:r>
        <w:t xml:space="preserve">“Moderated Estimation of Fold Change and Dispersion for RNA-Seq Data with</w:t>
      </w:r>
      <w:r>
        <w:t xml:space="preserve"> </w:t>
      </w:r>
      <w:r>
        <w:t xml:space="preserve">DESeq2</w:t>
      </w:r>
      <w:r>
        <w:t xml:space="preserve">.”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 </w:t>
      </w:r>
      <w:r>
        <w:t xml:space="preserve">15 (12): 550.</w:t>
      </w:r>
      <w:r>
        <w:t xml:space="preserve"> </w:t>
      </w:r>
      <w:hyperlink r:id="rId82">
        <w:r>
          <w:rPr>
            <w:rStyle w:val="Hyperlink"/>
          </w:rPr>
          <w:t xml:space="preserve">https://doi.org/10.1186/s13059-014-0550-8</w:t>
        </w:r>
      </w:hyperlink>
      <w:r>
        <w:t xml:space="preserve">.</w:t>
      </w:r>
    </w:p>
    <w:bookmarkEnd w:id="83"/>
    <w:bookmarkStart w:id="85" w:name="ref-pcaexplorer"/>
    <w:p>
      <w:pPr>
        <w:pStyle w:val="Bibliography"/>
      </w:pPr>
      <w:r>
        <w:t xml:space="preserve">Marini, Federico, and Harald Binder. 2019.</w:t>
      </w:r>
      <w:r>
        <w:t xml:space="preserve"> </w:t>
      </w:r>
      <w:r>
        <w:t xml:space="preserve">“pcaExplorer: An r/Bioconductor Package for Interacting with RNA-Seq Principal Components.”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t xml:space="preserve">20: 331.</w:t>
      </w:r>
      <w:r>
        <w:t xml:space="preserve"> </w:t>
      </w:r>
      <w:hyperlink r:id="rId84">
        <w:r>
          <w:rPr>
            <w:rStyle w:val="Hyperlink"/>
          </w:rPr>
          <w:t xml:space="preserve">https://doi.org/10.1186/s12859-019-2879-1</w:t>
        </w:r>
      </w:hyperlink>
      <w:r>
        <w:t xml:space="preserve">.</w:t>
      </w:r>
    </w:p>
    <w:bookmarkEnd w:id="85"/>
    <w:bookmarkStart w:id="87" w:name="ref-genetonic"/>
    <w:p>
      <w:pPr>
        <w:pStyle w:val="Bibliography"/>
      </w:pPr>
      <w:r>
        <w:t xml:space="preserve">Marini, Federico, Annekathrin Ludt, Jan Linke, and Konstantin Strauch. 2021.</w:t>
      </w:r>
      <w:r>
        <w:t xml:space="preserve"> </w:t>
      </w:r>
      <w:r>
        <w:t xml:space="preserve">“GeneTonic: An r/Bioconductor Package for Streamlining the Interpretation of RNA-Seq Data.”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t xml:space="preserve">22: 610.</w:t>
      </w:r>
      <w:r>
        <w:t xml:space="preserve"> </w:t>
      </w:r>
      <w:hyperlink r:id="rId86">
        <w:r>
          <w:rPr>
            <w:rStyle w:val="Hyperlink"/>
          </w:rPr>
          <w:t xml:space="preserve">https://doi.org/10.1186/s12859-021-04461-5</w:t>
        </w:r>
      </w:hyperlink>
      <w:r>
        <w:t xml:space="preserve">.</w:t>
      </w:r>
    </w:p>
    <w:bookmarkEnd w:id="87"/>
    <w:bookmarkStart w:id="89" w:name="ref-umap"/>
    <w:p>
      <w:pPr>
        <w:pStyle w:val="Bibliography"/>
      </w:pPr>
      <w:r>
        <w:t xml:space="preserve">McInnes, Leland, John Healy, and James Melville. 2018.</w:t>
      </w:r>
      <w:r>
        <w:t xml:space="preserve"> </w:t>
      </w:r>
      <w:r>
        <w:t xml:space="preserve">“UMAP: Uniform Manifold Approximation and Projection for Dimension Reduction.”</w:t>
      </w:r>
      <w:r>
        <w:t xml:space="preserve"> </w:t>
      </w:r>
      <w:r>
        <w:rPr>
          <w:i/>
          <w:iCs/>
        </w:rPr>
        <w:t xml:space="preserve">arXiv</w:t>
      </w:r>
      <w:r>
        <w:t xml:space="preserve">, ahead of print.</w:t>
      </w:r>
      <w:r>
        <w:t xml:space="preserve"> </w:t>
      </w:r>
      <w:hyperlink r:id="rId88">
        <w:r>
          <w:rPr>
            <w:rStyle w:val="Hyperlink"/>
          </w:rPr>
          <w:t xml:space="preserve">https://doi.org/10.48550/arXiv.1802.03426</w:t>
        </w:r>
      </w:hyperlink>
      <w:r>
        <w:t xml:space="preserve">.</w:t>
      </w:r>
    </w:p>
    <w:bookmarkEnd w:id="89"/>
    <w:bookmarkStart w:id="91" w:name="ref-collectri"/>
    <w:p>
      <w:pPr>
        <w:pStyle w:val="Bibliography"/>
      </w:pPr>
      <w:r>
        <w:t xml:space="preserve">Müller-Dott, Sophia, Eirini Tsirvouli, Miguel Vazquez, et al. 2023.</w:t>
      </w:r>
      <w:r>
        <w:t xml:space="preserve"> </w:t>
      </w:r>
      <w:r>
        <w:t xml:space="preserve">“Expanding the Coverage of Regulons from High-Confidence Prior Knowledge for Accurate Estimation of Transcription Factor Activities.”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51 (20): 10934–49.</w:t>
      </w:r>
      <w:r>
        <w:t xml:space="preserve"> </w:t>
      </w:r>
      <w:hyperlink r:id="rId90">
        <w:r>
          <w:rPr>
            <w:rStyle w:val="Hyperlink"/>
          </w:rPr>
          <w:t xml:space="preserve">https://doi.org/10.1093/nar/gkad841</w:t>
        </w:r>
      </w:hyperlink>
      <w:r>
        <w:t xml:space="preserve">.</w:t>
      </w:r>
    </w:p>
    <w:bookmarkEnd w:id="91"/>
    <w:bookmarkStart w:id="93" w:name="ref-gse62944"/>
    <w:p>
      <w:pPr>
        <w:pStyle w:val="Bibliography"/>
      </w:pPr>
      <w:r>
        <w:t xml:space="preserve">Rahman, Mahfuza, Lisa M. Jackson, W. Evan Johnson, Dae-Yeol Li, Andrea H. Bild, and Stephen R. Piccolo. 2015.</w:t>
      </w:r>
      <w:r>
        <w:t xml:space="preserve"> </w:t>
      </w:r>
      <w:r>
        <w:t xml:space="preserve">“Alternative Preprocessing of</w:t>
      </w:r>
      <w:r>
        <w:t xml:space="preserve"> </w:t>
      </w:r>
      <w:r>
        <w:t xml:space="preserve">RNA-Sequencing</w:t>
      </w:r>
      <w:r>
        <w:t xml:space="preserve"> </w:t>
      </w:r>
      <w:r>
        <w:t xml:space="preserve">Data in the Cancer Genome Atlas Leads to Improved Analysis Results.”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31 (22): 3666–72.</w:t>
      </w:r>
      <w:r>
        <w:t xml:space="preserve"> </w:t>
      </w:r>
      <w:hyperlink r:id="rId92">
        <w:r>
          <w:rPr>
            <w:rStyle w:val="Hyperlink"/>
          </w:rPr>
          <w:t xml:space="preserve">https://doi.org/10.1093/bioinformatics/btv377</w:t>
        </w:r>
      </w:hyperlink>
      <w:r>
        <w:t xml:space="preserve">.</w:t>
      </w:r>
    </w:p>
    <w:bookmarkEnd w:id="93"/>
    <w:bookmarkStart w:id="95" w:name="ref-progeny"/>
    <w:p>
      <w:pPr>
        <w:pStyle w:val="Bibliography"/>
      </w:pPr>
      <w:r>
        <w:t xml:space="preserve">Schubert, Michael, Bertram Klinger, Martina Klünemann, et al. 2018.</w:t>
      </w:r>
      <w:r>
        <w:t xml:space="preserve"> </w:t>
      </w:r>
      <w:r>
        <w:t xml:space="preserve">“Perturbation-Response Genes Reveal Signaling Footprints in Cancer Gene Expression.”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9: 20.</w:t>
      </w:r>
      <w:r>
        <w:t xml:space="preserve"> </w:t>
      </w:r>
      <w:hyperlink r:id="rId94">
        <w:r>
          <w:rPr>
            <w:rStyle w:val="Hyperlink"/>
          </w:rPr>
          <w:t xml:space="preserve">https://doi.org/10.1038/s41467-017-02391-6</w:t>
        </w:r>
      </w:hyperlink>
      <w:r>
        <w:t xml:space="preserve">.</w:t>
      </w:r>
    </w:p>
    <w:bookmarkEnd w:id="95"/>
    <w:bookmarkStart w:id="97" w:name="ref-plotly"/>
    <w:p>
      <w:pPr>
        <w:pStyle w:val="Bibliography"/>
      </w:pPr>
      <w:r>
        <w:t xml:space="preserve">Sievert, Carson. 2020.</w:t>
      </w:r>
      <w:r>
        <w:t xml:space="preserve"> </w:t>
      </w:r>
      <w:r>
        <w:rPr>
          <w:i/>
          <w:iCs/>
        </w:rPr>
        <w:t xml:space="preserve">Interactive Web-Based Data Visualization with r, Plotly, and Shiny</w:t>
      </w:r>
      <w:r>
        <w:t xml:space="preserve">. Chapman; Hall/CRC.</w:t>
      </w:r>
      <w:r>
        <w:t xml:space="preserve"> </w:t>
      </w:r>
      <w:hyperlink r:id="rId96">
        <w:r>
          <w:rPr>
            <w:rStyle w:val="Hyperlink"/>
          </w:rPr>
          <w:t xml:space="preserve">https://plotly-r.com</w:t>
        </w:r>
      </w:hyperlink>
      <w:r>
        <w:t xml:space="preserve">.</w:t>
      </w:r>
    </w:p>
    <w:bookmarkEnd w:id="97"/>
    <w:bookmarkStart w:id="99" w:name="ref-bslib"/>
    <w:p>
      <w:pPr>
        <w:pStyle w:val="Bibliography"/>
      </w:pPr>
      <w:r>
        <w:t xml:space="preserve">Sievert, Carson, Joe Cheng, and Garrick Aden-Buie. 2024.</w:t>
      </w:r>
      <w:r>
        <w:t xml:space="preserve"> </w:t>
      </w:r>
      <w:r>
        <w:rPr>
          <w:i/>
          <w:iCs/>
        </w:rPr>
        <w:t xml:space="preserve">Bslib: Custom Bootstrap Sass Themes for Shiny and Rmarkdown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https://rstudio.github.io/bslib/</w:t>
        </w:r>
      </w:hyperlink>
      <w:r>
        <w:t xml:space="preserve">.</w:t>
      </w:r>
    </w:p>
    <w:bookmarkEnd w:id="99"/>
    <w:bookmarkStart w:id="101" w:name="ref-gsea"/>
    <w:p>
      <w:pPr>
        <w:pStyle w:val="Bibliography"/>
      </w:pPr>
      <w:r>
        <w:t xml:space="preserve">Subramanian, Aravind, Pablo Tamayo, Vamsi K. Mootha, et al. 2005.</w:t>
      </w:r>
      <w:r>
        <w:t xml:space="preserve"> </w:t>
      </w:r>
      <w:r>
        <w:t xml:space="preserve">“Gene Set Enrichment Analysis: A Knowledge-Based Approach for Interpreting Genome-Wide Expression Profiles.”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102 (43): 15545–50.</w:t>
      </w:r>
      <w:r>
        <w:t xml:space="preserve"> </w:t>
      </w:r>
      <w:hyperlink r:id="rId100">
        <w:r>
          <w:rPr>
            <w:rStyle w:val="Hyperlink"/>
          </w:rPr>
          <w:t xml:space="preserve">https://doi.org/10.1073/pnas.0506580102</w:t>
        </w:r>
      </w:hyperlink>
      <w:r>
        <w:t xml:space="preserve">.</w:t>
      </w:r>
    </w:p>
    <w:bookmarkEnd w:id="101"/>
    <w:bookmarkStart w:id="103" w:name="ref-omnipath"/>
    <w:p>
      <w:pPr>
        <w:pStyle w:val="Bibliography"/>
      </w:pPr>
      <w:r>
        <w:t xml:space="preserve">Türei, Dénes, Alberto Valdeolivas, Lejla Gul, et al. 2021.</w:t>
      </w:r>
      <w:r>
        <w:t xml:space="preserve"> </w:t>
      </w:r>
      <w:r>
        <w:t xml:space="preserve">“Integrated Intra- and Intercellular Signaling Knowledge for Multicellular Omics Analysis.”</w:t>
      </w:r>
      <w:r>
        <w:t xml:space="preserve"> </w:t>
      </w:r>
      <w:r>
        <w:rPr>
          <w:i/>
          <w:iCs/>
        </w:rPr>
        <w:t xml:space="preserve">Molecular Systems Biology</w:t>
      </w:r>
      <w:r>
        <w:t xml:space="preserve"> </w:t>
      </w:r>
      <w:r>
        <w:t xml:space="preserve">17 (3): e9923.</w:t>
      </w:r>
      <w:r>
        <w:t xml:space="preserve"> </w:t>
      </w:r>
      <w:hyperlink r:id="rId102">
        <w:r>
          <w:rPr>
            <w:rStyle w:val="Hyperlink"/>
          </w:rPr>
          <w:t xml:space="preserve">https://doi.org/10.15252/msb.20209923</w:t>
        </w:r>
      </w:hyperlink>
      <w:r>
        <w:t xml:space="preserve">.</w:t>
      </w:r>
    </w:p>
    <w:bookmarkEnd w:id="103"/>
    <w:bookmarkStart w:id="105" w:name="ref-tcga"/>
    <w:p>
      <w:pPr>
        <w:pStyle w:val="Bibliography"/>
      </w:pPr>
      <w:r>
        <w:t xml:space="preserve">Weinstein, John N., Eric A. Collisson, Gordon B. Mills, et al. 2013.</w:t>
      </w:r>
      <w:r>
        <w:t xml:space="preserve"> </w:t>
      </w:r>
      <w:r>
        <w:t xml:space="preserve">“The Cancer Genome Atlas Pan-Cancer Analysis Project.”</w:t>
      </w:r>
      <w:r>
        <w:t xml:space="preserve"> </w:t>
      </w:r>
      <w:r>
        <w:rPr>
          <w:i/>
          <w:iCs/>
        </w:rPr>
        <w:t xml:space="preserve">Nature Genetics</w:t>
      </w:r>
      <w:r>
        <w:t xml:space="preserve"> </w:t>
      </w:r>
      <w:r>
        <w:t xml:space="preserve">45 (10): 1113–20.</w:t>
      </w:r>
      <w:r>
        <w:t xml:space="preserve"> </w:t>
      </w:r>
      <w:hyperlink r:id="rId104">
        <w:r>
          <w:rPr>
            <w:rStyle w:val="Hyperlink"/>
          </w:rPr>
          <w:t xml:space="preserve">https://doi.org/10.1038/ng.2764</w:t>
        </w:r>
      </w:hyperlink>
      <w:r>
        <w:t xml:space="preserve">.</w:t>
      </w:r>
    </w:p>
    <w:bookmarkEnd w:id="105"/>
    <w:bookmarkStart w:id="107" w:name="ref-ggplot2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Springer-Verlag New York.</w:t>
      </w:r>
      <w:r>
        <w:t xml:space="preserve"> </w:t>
      </w:r>
      <w:hyperlink r:id="rId106">
        <w:r>
          <w:rPr>
            <w:rStyle w:val="Hyperlink"/>
          </w:rPr>
          <w:t xml:space="preserve">https://ggplot2.tidyverse.org</w:t>
        </w:r>
      </w:hyperlink>
      <w:r>
        <w:t xml:space="preserve">.</w:t>
      </w:r>
    </w:p>
    <w:bookmarkEnd w:id="107"/>
    <w:bookmarkStart w:id="109" w:name="ref-clusterprofiler"/>
    <w:p>
      <w:pPr>
        <w:pStyle w:val="Bibliography"/>
      </w:pPr>
      <w:r>
        <w:t xml:space="preserve">Wu, Tianzhi, Erqiang Hu, Shuangbin Xu, et al. 2021.</w:t>
      </w:r>
      <w:r>
        <w:t xml:space="preserve"> </w:t>
      </w:r>
      <w:r>
        <w:t xml:space="preserve">“clusterProfiler 4.0: A Universal Enrichment Tool for Interpreting Omics Data.”</w:t>
      </w:r>
      <w:r>
        <w:t xml:space="preserve"> </w:t>
      </w:r>
      <w:r>
        <w:rPr>
          <w:i/>
          <w:iCs/>
        </w:rPr>
        <w:t xml:space="preserve">The Innovation</w:t>
      </w:r>
      <w:r>
        <w:t xml:space="preserve"> </w:t>
      </w:r>
      <w:r>
        <w:t xml:space="preserve">2 (3): 100141.</w:t>
      </w:r>
      <w:r>
        <w:t xml:space="preserve"> </w:t>
      </w:r>
      <w:hyperlink r:id="rId108">
        <w:r>
          <w:rPr>
            <w:rStyle w:val="Hyperlink"/>
          </w:rPr>
          <w:t xml:space="preserve">https://doi.org/10.1016/j.xinn.2021.100141</w:t>
        </w:r>
      </w:hyperlink>
      <w:r>
        <w:t xml:space="preserve">.</w:t>
      </w:r>
    </w:p>
    <w:bookmarkEnd w:id="109"/>
    <w:bookmarkStart w:id="111" w:name="ref-reactomepa"/>
    <w:p>
      <w:pPr>
        <w:pStyle w:val="Bibliography"/>
      </w:pPr>
      <w:r>
        <w:t xml:space="preserve">Yu, Guangchuang, and Qing-Yu He. 2016.</w:t>
      </w:r>
      <w:r>
        <w:t xml:space="preserve"> </w:t>
      </w:r>
      <w:r>
        <w:t xml:space="preserve">“ReactomePA: An r/Bioconductor Package for Reactome Pathway Analysis and Visualization.”</w:t>
      </w:r>
      <w:r>
        <w:t xml:space="preserve"> </w:t>
      </w:r>
      <w:r>
        <w:rPr>
          <w:i/>
          <w:iCs/>
        </w:rPr>
        <w:t xml:space="preserve">Molecular BioSystems</w:t>
      </w:r>
      <w:r>
        <w:t xml:space="preserve"> </w:t>
      </w:r>
      <w:r>
        <w:t xml:space="preserve">12 (2): 477–79.</w:t>
      </w:r>
      <w:r>
        <w:t xml:space="preserve"> </w:t>
      </w:r>
      <w:hyperlink r:id="rId110">
        <w:r>
          <w:rPr>
            <w:rStyle w:val="Hyperlink"/>
          </w:rPr>
          <w:t xml:space="preserve">https://doi.org/10.1039/C5MB00663E</w:t>
        </w:r>
      </w:hyperlink>
      <w:r>
        <w:t xml:space="preserve">.</w:t>
      </w:r>
    </w:p>
    <w:bookmarkEnd w:id="111"/>
    <w:bookmarkStart w:id="113" w:name="ref-apeglm"/>
    <w:p>
      <w:pPr>
        <w:pStyle w:val="Bibliography"/>
      </w:pPr>
      <w:r>
        <w:t xml:space="preserve">Zhu, Anqi, Joseph G. Ibrahim, and Michael I. Love. 2019.</w:t>
      </w:r>
      <w:r>
        <w:t xml:space="preserve"> </w:t>
      </w:r>
      <w:r>
        <w:t xml:space="preserve">“Heavy-Tailed Prior Distributions for Sequence Count Data: Removing the Noise and Preserving Large Differences.”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35 (12): 2084–92.</w:t>
      </w:r>
      <w:r>
        <w:t xml:space="preserve"> </w:t>
      </w:r>
      <w:hyperlink r:id="rId112">
        <w:r>
          <w:rPr>
            <w:rStyle w:val="Hyperlink"/>
          </w:rPr>
          <w:t xml:space="preserve">https://doi.org/10.1093/bioinformatics/bty895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53" Target="https://KmBioChemo.github.io/RNAflow/" TargetMode="External" /><Relationship Type="http://schemas.openxmlformats.org/officeDocument/2006/relationships/hyperlink" Id="rId64" Target="https://doi.org/10.1002/cpz1.922" TargetMode="External" /><Relationship Type="http://schemas.openxmlformats.org/officeDocument/2006/relationships/hyperlink" Id="rId80" Target="https://doi.org/10.1016/j.cels.2015.12.004" TargetMode="External" /><Relationship Type="http://schemas.openxmlformats.org/officeDocument/2006/relationships/hyperlink" Id="rId108" Target="https://doi.org/10.1016/j.xinn.2021.100141" TargetMode="External" /><Relationship Type="http://schemas.openxmlformats.org/officeDocument/2006/relationships/hyperlink" Id="rId104" Target="https://doi.org/10.1038/ng.2764" TargetMode="External" /><Relationship Type="http://schemas.openxmlformats.org/officeDocument/2006/relationships/hyperlink" Id="rId94" Target="https://doi.org/10.1038/s41467-017-02391-6" TargetMode="External" /><Relationship Type="http://schemas.openxmlformats.org/officeDocument/2006/relationships/hyperlink" Id="rId110" Target="https://doi.org/10.1039/C5MB00663E" TargetMode="External" /><Relationship Type="http://schemas.openxmlformats.org/officeDocument/2006/relationships/hyperlink" Id="rId100" Target="https://doi.org/10.1073/pnas.0506580102" TargetMode="External" /><Relationship Type="http://schemas.openxmlformats.org/officeDocument/2006/relationships/hyperlink" Id="rId56" Target="https://doi.org/10.1093/bioadv/vbac016" TargetMode="External" /><Relationship Type="http://schemas.openxmlformats.org/officeDocument/2006/relationships/hyperlink" Id="rId92" Target="https://doi.org/10.1093/bioinformatics/btv377" TargetMode="External" /><Relationship Type="http://schemas.openxmlformats.org/officeDocument/2006/relationships/hyperlink" Id="rId68" Target="https://doi.org/10.1093/bioinformatics/btw313" TargetMode="External" /><Relationship Type="http://schemas.openxmlformats.org/officeDocument/2006/relationships/hyperlink" Id="rId60" Target="https://doi.org/10.1093/bioinformatics/btx364" TargetMode="External" /><Relationship Type="http://schemas.openxmlformats.org/officeDocument/2006/relationships/hyperlink" Id="rId112" Target="https://doi.org/10.1093/bioinformatics/bty895" TargetMode="External" /><Relationship Type="http://schemas.openxmlformats.org/officeDocument/2006/relationships/hyperlink" Id="rId90" Target="https://doi.org/10.1093/nar/gkad841" TargetMode="External" /><Relationship Type="http://schemas.openxmlformats.org/officeDocument/2006/relationships/hyperlink" Id="rId74" Target="https://doi.org/10.1101/060012" TargetMode="External" /><Relationship Type="http://schemas.openxmlformats.org/officeDocument/2006/relationships/hyperlink" Id="rId70" Target="https://doi.org/10.1186/1471-2105-14-7" TargetMode="External" /><Relationship Type="http://schemas.openxmlformats.org/officeDocument/2006/relationships/hyperlink" Id="rId78" Target="https://doi.org/10.1186/1471-2105-9-559" TargetMode="External" /><Relationship Type="http://schemas.openxmlformats.org/officeDocument/2006/relationships/hyperlink" Id="rId66" Target="https://doi.org/10.1186/s12859-018-2486-6" TargetMode="External" /><Relationship Type="http://schemas.openxmlformats.org/officeDocument/2006/relationships/hyperlink" Id="rId84" Target="https://doi.org/10.1186/s12859-019-2879-1" TargetMode="External" /><Relationship Type="http://schemas.openxmlformats.org/officeDocument/2006/relationships/hyperlink" Id="rId86" Target="https://doi.org/10.1186/s12859-021-04461-5" TargetMode="External" /><Relationship Type="http://schemas.openxmlformats.org/officeDocument/2006/relationships/hyperlink" Id="rId76" Target="https://doi.org/10.1186/s12864-018-5362-x" TargetMode="External" /><Relationship Type="http://schemas.openxmlformats.org/officeDocument/2006/relationships/hyperlink" Id="rId82" Target="https://doi.org/10.1186/s13059-014-0550-8" TargetMode="External" /><Relationship Type="http://schemas.openxmlformats.org/officeDocument/2006/relationships/hyperlink" Id="rId72" Target="https://doi.org/10.1371/journal.pone.0099625" TargetMode="External" /><Relationship Type="http://schemas.openxmlformats.org/officeDocument/2006/relationships/hyperlink" Id="rId102" Target="https://doi.org/10.15252/msb.20209923" TargetMode="External" /><Relationship Type="http://schemas.openxmlformats.org/officeDocument/2006/relationships/hyperlink" Id="rId88" Target="https://doi.org/10.48550/arXiv.1802.03426" TargetMode="External" /><Relationship Type="http://schemas.openxmlformats.org/officeDocument/2006/relationships/hyperlink" Id="rId106" Target="https://ggplot2.tidyverse.org" TargetMode="External" /><Relationship Type="http://schemas.openxmlformats.org/officeDocument/2006/relationships/hyperlink" Id="rId9" Target="https://github.com/KmBioChemo/RNAflow" TargetMode="External" /><Relationship Type="http://schemas.openxmlformats.org/officeDocument/2006/relationships/hyperlink" Id="rId62" Target="https://igordot.github.io/msigdbr/" TargetMode="External" /><Relationship Type="http://schemas.openxmlformats.org/officeDocument/2006/relationships/hyperlink" Id="rId96" Target="https://plotly-r.com" TargetMode="External" /><Relationship Type="http://schemas.openxmlformats.org/officeDocument/2006/relationships/hyperlink" Id="rId98" Target="https://rstudio.github.io/bslib/" TargetMode="External" /><Relationship Type="http://schemas.openxmlformats.org/officeDocument/2006/relationships/hyperlink" Id="rId58" Target="https://shiny.posit.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KmBioChemo.github.io/RNAflow/" TargetMode="External" /><Relationship Type="http://schemas.openxmlformats.org/officeDocument/2006/relationships/hyperlink" Id="rId64" Target="https://doi.org/10.1002/cpz1.922" TargetMode="External" /><Relationship Type="http://schemas.openxmlformats.org/officeDocument/2006/relationships/hyperlink" Id="rId80" Target="https://doi.org/10.1016/j.cels.2015.12.004" TargetMode="External" /><Relationship Type="http://schemas.openxmlformats.org/officeDocument/2006/relationships/hyperlink" Id="rId108" Target="https://doi.org/10.1016/j.xinn.2021.100141" TargetMode="External" /><Relationship Type="http://schemas.openxmlformats.org/officeDocument/2006/relationships/hyperlink" Id="rId104" Target="https://doi.org/10.1038/ng.2764" TargetMode="External" /><Relationship Type="http://schemas.openxmlformats.org/officeDocument/2006/relationships/hyperlink" Id="rId94" Target="https://doi.org/10.1038/s41467-017-02391-6" TargetMode="External" /><Relationship Type="http://schemas.openxmlformats.org/officeDocument/2006/relationships/hyperlink" Id="rId110" Target="https://doi.org/10.1039/C5MB00663E" TargetMode="External" /><Relationship Type="http://schemas.openxmlformats.org/officeDocument/2006/relationships/hyperlink" Id="rId100" Target="https://doi.org/10.1073/pnas.0506580102" TargetMode="External" /><Relationship Type="http://schemas.openxmlformats.org/officeDocument/2006/relationships/hyperlink" Id="rId56" Target="https://doi.org/10.1093/bioadv/vbac016" TargetMode="External" /><Relationship Type="http://schemas.openxmlformats.org/officeDocument/2006/relationships/hyperlink" Id="rId92" Target="https://doi.org/10.1093/bioinformatics/btv377" TargetMode="External" /><Relationship Type="http://schemas.openxmlformats.org/officeDocument/2006/relationships/hyperlink" Id="rId68" Target="https://doi.org/10.1093/bioinformatics/btw313" TargetMode="External" /><Relationship Type="http://schemas.openxmlformats.org/officeDocument/2006/relationships/hyperlink" Id="rId60" Target="https://doi.org/10.1093/bioinformatics/btx364" TargetMode="External" /><Relationship Type="http://schemas.openxmlformats.org/officeDocument/2006/relationships/hyperlink" Id="rId112" Target="https://doi.org/10.1093/bioinformatics/bty895" TargetMode="External" /><Relationship Type="http://schemas.openxmlformats.org/officeDocument/2006/relationships/hyperlink" Id="rId90" Target="https://doi.org/10.1093/nar/gkad841" TargetMode="External" /><Relationship Type="http://schemas.openxmlformats.org/officeDocument/2006/relationships/hyperlink" Id="rId74" Target="https://doi.org/10.1101/060012" TargetMode="External" /><Relationship Type="http://schemas.openxmlformats.org/officeDocument/2006/relationships/hyperlink" Id="rId70" Target="https://doi.org/10.1186/1471-2105-14-7" TargetMode="External" /><Relationship Type="http://schemas.openxmlformats.org/officeDocument/2006/relationships/hyperlink" Id="rId78" Target="https://doi.org/10.1186/1471-2105-9-559" TargetMode="External" /><Relationship Type="http://schemas.openxmlformats.org/officeDocument/2006/relationships/hyperlink" Id="rId66" Target="https://doi.org/10.1186/s12859-018-2486-6" TargetMode="External" /><Relationship Type="http://schemas.openxmlformats.org/officeDocument/2006/relationships/hyperlink" Id="rId84" Target="https://doi.org/10.1186/s12859-019-2879-1" TargetMode="External" /><Relationship Type="http://schemas.openxmlformats.org/officeDocument/2006/relationships/hyperlink" Id="rId86" Target="https://doi.org/10.1186/s12859-021-04461-5" TargetMode="External" /><Relationship Type="http://schemas.openxmlformats.org/officeDocument/2006/relationships/hyperlink" Id="rId76" Target="https://doi.org/10.1186/s12864-018-5362-x" TargetMode="External" /><Relationship Type="http://schemas.openxmlformats.org/officeDocument/2006/relationships/hyperlink" Id="rId82" Target="https://doi.org/10.1186/s13059-014-0550-8" TargetMode="External" /><Relationship Type="http://schemas.openxmlformats.org/officeDocument/2006/relationships/hyperlink" Id="rId72" Target="https://doi.org/10.1371/journal.pone.0099625" TargetMode="External" /><Relationship Type="http://schemas.openxmlformats.org/officeDocument/2006/relationships/hyperlink" Id="rId102" Target="https://doi.org/10.15252/msb.20209923" TargetMode="External" /><Relationship Type="http://schemas.openxmlformats.org/officeDocument/2006/relationships/hyperlink" Id="rId88" Target="https://doi.org/10.48550/arXiv.1802.03426" TargetMode="External" /><Relationship Type="http://schemas.openxmlformats.org/officeDocument/2006/relationships/hyperlink" Id="rId106" Target="https://ggplot2.tidyverse.org" TargetMode="External" /><Relationship Type="http://schemas.openxmlformats.org/officeDocument/2006/relationships/hyperlink" Id="rId9" Target="https://github.com/KmBioChemo/RNAflow" TargetMode="External" /><Relationship Type="http://schemas.openxmlformats.org/officeDocument/2006/relationships/hyperlink" Id="rId62" Target="https://igordot.github.io/msigdbr/" TargetMode="External" /><Relationship Type="http://schemas.openxmlformats.org/officeDocument/2006/relationships/hyperlink" Id="rId96" Target="https://plotly-r.com" TargetMode="External" /><Relationship Type="http://schemas.openxmlformats.org/officeDocument/2006/relationships/hyperlink" Id="rId98" Target="https://rstudio.github.io/bslib/" TargetMode="External" /><Relationship Type="http://schemas.openxmlformats.org/officeDocument/2006/relationships/hyperlink" Id="rId58" Target="https://shiny.posit.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RNAflow: an integrated, reproducible R/Shiny platform for end-to-end bulk RNA-seq analysis and interpretation</dc:title>
  <dc:creator>Karim Matmat1,*</dc:creator>
  <cp:keywords/>
  <dcterms:created xsi:type="dcterms:W3CDTF">2026-07-03T18:46:01Z</dcterms:created>
  <dcterms:modified xsi:type="dcterms:W3CDTF">2026-07-03T18:46:01Z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paper.bib</vt:lpwstr>
  </property>
  <property fmtid="{D5CDD505-2E9C-101B-9397-08002B2CF9AE}" pid="3" name="date">
    <vt:lpwstr>2026</vt:lpwstr>
  </property>
  <property fmtid="{D5CDD505-2E9C-101B-9397-08002B2CF9AE}" pid="4" name="link-citations">
    <vt:lpwstr>True</vt:lpwstr>
  </property>
</Properties>
</file>