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Statistical methods and default parameters (all user-adjustable).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Method / test</w:t>
            </w:r>
          </w:p>
        </w:tc>
        <w:tc>
          <w:tcPr/>
          <w:p>
            <w:pPr>
              <w:pStyle w:val="Compact"/>
            </w:pPr>
            <w:r>
              <w:t xml:space="preserve">Multiple testing</w:t>
            </w:r>
          </w:p>
        </w:tc>
        <w:tc>
          <w:tcPr/>
          <w:p>
            <w:pPr>
              <w:pStyle w:val="Compact"/>
            </w:pPr>
            <w:r>
              <w:t xml:space="preserve">Key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Pre-filtering</w:t>
            </w:r>
          </w:p>
        </w:tc>
        <w:tc>
          <w:tcPr/>
          <w:p>
            <w:pPr>
              <w:pStyle w:val="Compact"/>
            </w:pPr>
            <w:r>
              <w:t xml:space="preserve">drop low-count genes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row sum &gt;=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expression</w:t>
            </w:r>
          </w:p>
        </w:tc>
        <w:tc>
          <w:tcPr/>
          <w:p>
            <w:pPr>
              <w:pStyle w:val="Compact"/>
            </w:pPr>
            <w:r>
              <w:t xml:space="preserve">DESeq2 negative-binomial GLM, Wald test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covariates + variable of interest; independent filtering at alpha = 0.05; apeglm LFC shrinkage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All-pairwise DE</w:t>
            </w:r>
          </w:p>
        </w:tc>
        <w:tc>
          <w:tcPr/>
          <w:p>
            <w:pPr>
              <w:pStyle w:val="Compact"/>
            </w:pPr>
            <w:r>
              <w:t xml:space="preserve">one DESeq2 fit,</w:t>
            </w:r>
            <w:r>
              <w:t xml:space="preserve"> </w:t>
            </w:r>
            <w:r>
              <w:rPr>
                <w:rStyle w:val="VerbatimChar"/>
              </w:rPr>
              <w:t xml:space="preserve">results()</w:t>
            </w:r>
            <w:r>
              <w:t xml:space="preserve"> </w:t>
            </w:r>
            <w:r>
              <w:t xml:space="preserve">per pair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contrast-based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/</w:t>
            </w:r>
            <w:r>
              <w:rPr>
                <w:rStyle w:val="VerbatimChar"/>
              </w:rPr>
              <w:t xml:space="preserve">ashr</w:t>
            </w:r>
            <w:r>
              <w:t xml:space="preserve"> </w:t>
            </w:r>
            <w:r>
              <w:t xml:space="preserve">shrinkage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VST (n &gt;= 4) / rlog / log2-CPM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VST, 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prcomp</w:t>
            </w:r>
            <w:r>
              <w:t xml:space="preserve"> </w:t>
            </w:r>
            <w:r>
              <w:t xml:space="preserve">on top-variable genes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500 most variable (VST)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UMAP</w:t>
            </w:r>
          </w:p>
        </w:tc>
        <w:tc>
          <w:tcPr/>
          <w:p>
            <w:pPr>
              <w:pStyle w:val="Compact"/>
            </w:pPr>
            <w:r>
              <w:t xml:space="preserve">uwot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500 genes; neighbours = 15; min-dist = 0.1;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GSEA</w:t>
            </w:r>
          </w:p>
        </w:tc>
        <w:tc>
          <w:tcPr/>
          <w:p>
            <w:pPr>
              <w:pStyle w:val="Compact"/>
            </w:pPr>
            <w:r>
              <w:t xml:space="preserve">fgsea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ranked by Wald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clusterProfiler hypergeometric test</w:t>
            </w:r>
          </w:p>
        </w:tc>
        <w:tc>
          <w:tcPr/>
          <w:p>
            <w:pPr>
              <w:pStyle w:val="Compact"/>
            </w:pPr>
            <w:r>
              <w:t xml:space="preserve">Benjamini–Hochberg</w:t>
            </w:r>
          </w:p>
        </w:tc>
        <w:tc>
          <w:tcPr/>
          <w:p>
            <w:pPr>
              <w:pStyle w:val="Compact"/>
            </w:pPr>
            <w:r>
              <w:t xml:space="preserve">universe = tested genes; significant = padj &lt; 0.05 and |log2FC| &gt;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Co-expression</w:t>
            </w:r>
          </w:p>
        </w:tc>
        <w:tc>
          <w:tcPr/>
          <w:p>
            <w:pPr>
              <w:pStyle w:val="Compact"/>
            </w:pPr>
            <w:r>
              <w:t xml:space="preserve">WGCNA, signed network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 power at scale-free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&gt;= 0.8; dynamic tree cut, min module 30, deepSplit 2, merge height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Module–trait</w:t>
            </w:r>
          </w:p>
        </w:tc>
        <w:tc>
          <w:tcPr/>
          <w:p>
            <w:pPr>
              <w:pStyle w:val="Compact"/>
            </w:pPr>
            <w:r>
              <w:t xml:space="preserve">Pearson eigengene–trait correlation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correlation p-values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decoupleR univariate linear model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CollecTRI / PROGENy priors; min set size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Signatures</w:t>
            </w:r>
          </w:p>
        </w:tc>
        <w:tc>
          <w:tcPr/>
          <w:p>
            <w:pPr>
              <w:pStyle w:val="Compact"/>
            </w:pPr>
            <w:r>
              <w:t xml:space="preserve">GSVA (Gaussian kernel) / ssGSEA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 size in [5, 500]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2026-07-03T18:46:36Z</dcterms:created>
  <dcterms:modified xsi:type="dcterms:W3CDTF">2026-07-03T18:46:36Z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