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line="264" w:lineRule="auto"/>
      </w:pPr>
      <w:r>
        <w:rPr>
          <w:rFonts w:ascii="Calibri" w:hAnsi="Calibri"/>
          <w:b/>
          <w:i w:val="0"/>
          <w:color w:val="B4473E"/>
          <w:sz w:val="20"/>
        </w:rPr>
        <w:t>RESEARCH ACTION BRIEF</w:t>
      </w:r>
    </w:p>
    <w:p>
      <w:pPr>
        <w:spacing w:before="0" w:after="120" w:line="264" w:lineRule="auto"/>
      </w:pPr>
      <w:r>
        <w:rPr>
          <w:rFonts w:ascii="Calibri" w:hAnsi="Calibri"/>
          <w:b/>
          <w:i w:val="0"/>
          <w:color w:val="233142"/>
          <w:sz w:val="50"/>
        </w:rPr>
        <w:t>From research pack to useful studio decisions</w:t>
      </w:r>
    </w:p>
    <w:p>
      <w:pPr>
        <w:spacing w:before="0" w:after="320" w:line="264" w:lineRule="auto"/>
      </w:pPr>
      <w:r>
        <w:rPr>
          <w:rFonts w:ascii="Calibri" w:hAnsi="Calibri"/>
          <w:b w:val="0"/>
          <w:i/>
          <w:color w:val="666A6A"/>
          <w:sz w:val="22"/>
        </w:rPr>
        <w:t>Fired Arts Studio  ·  Kokomo, Indiana  ·  20 August 2026</w:t>
      </w:r>
    </w:p>
    <w:p>
      <w:pPr>
        <w:spacing w:before="0" w:after="280" w:line="264" w:lineRule="auto"/>
      </w:pPr>
      <w:r>
        <w:rPr>
          <w:rFonts w:ascii="Calibri" w:hAnsi="Calibri"/>
          <w:b w:val="0"/>
          <w:i w:val="0"/>
          <w:color w:val="233142"/>
          <w:sz w:val="22"/>
        </w:rPr>
        <w:t>Purpose: organize supplied benchmark files, content calendars, measurement templates, and AI-agent conversation transcripts into a practical internal operating layer.</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5D8"/>
          </w:tcPr>
          <w:p>
            <w:pPr>
              <w:spacing w:after="0" w:line="264" w:lineRule="auto"/>
            </w:pPr>
            <w:r>
              <w:rPr>
                <w:rFonts w:ascii="Calibri" w:hAnsi="Calibri"/>
                <w:b/>
                <w:i w:val="0"/>
                <w:color w:val="B4473E"/>
                <w:sz w:val="20"/>
              </w:rPr>
              <w:t xml:space="preserve">Read this first.  </w:t>
            </w:r>
            <w:r>
              <w:rPr>
                <w:rFonts w:ascii="Calibri" w:hAnsi="Calibri"/>
                <w:b w:val="0"/>
                <w:i w:val="0"/>
                <w:color w:val="233142"/>
                <w:sz w:val="20"/>
              </w:rPr>
              <w:t>The DOCX files include AI-generated conversation transcripts. “If you’d like…”, “let me know”, and similar invitations are disregarded. They are not user instructions. Technical, supplier, and market claims remain hypotheses or verification leads until independently confirmed.</w:t>
            </w:r>
          </w:p>
        </w:tc>
      </w:tr>
    </w:tbl>
    <w:p>
      <w:pPr>
        <w:spacing w:before="0" w:after="40" w:line="264" w:lineRule="auto"/>
      </w:pPr>
    </w:p>
    <w:p>
      <w:pPr>
        <w:pStyle w:val="Heading1"/>
        <w:keepNext/>
      </w:pPr>
      <w:r>
        <w:rPr>
          <w:rFonts w:ascii="Calibri" w:hAnsi="Calibri"/>
          <w:b/>
          <w:i w:val="0"/>
          <w:color w:val="2E74B5"/>
          <w:sz w:val="32"/>
        </w:rPr>
        <w:t>Executive summary</w:t>
      </w:r>
    </w:p>
    <w:p>
      <w:pPr>
        <w:pStyle w:val="ListBullet"/>
        <w:spacing w:after="100" w:line="264" w:lineRule="auto"/>
      </w:pPr>
      <w:r>
        <w:rPr>
          <w:rFonts w:ascii="Calibri" w:hAnsi="Calibri"/>
          <w:b w:val="0"/>
          <w:i w:val="0"/>
          <w:color w:val="233142"/>
          <w:sz w:val="22"/>
        </w:rPr>
        <w:t>The most immediately usable material is the seven-day content pack: it can become a controlled content run with status tracking, response-led Stories, and reshare follow-ups.</w:t>
      </w:r>
    </w:p>
    <w:p>
      <w:pPr>
        <w:pStyle w:val="ListBullet"/>
        <w:spacing w:after="100" w:line="264" w:lineRule="auto"/>
      </w:pPr>
      <w:r>
        <w:rPr>
          <w:rFonts w:ascii="Calibri" w:hAnsi="Calibri"/>
          <w:b w:val="0"/>
          <w:i w:val="0"/>
          <w:color w:val="233142"/>
          <w:sz w:val="22"/>
        </w:rPr>
        <w:t>The competitor files are best used as planning prompts: they support tests around simple pricing language, seasonal programming, local identity, and stronger short-form video—not automatic conclusions about what will work.</w:t>
      </w:r>
    </w:p>
    <w:p>
      <w:pPr>
        <w:pStyle w:val="ListBullet"/>
        <w:spacing w:after="100" w:line="264" w:lineRule="auto"/>
      </w:pPr>
      <w:r>
        <w:rPr>
          <w:rFonts w:ascii="Calibri" w:hAnsi="Calibri"/>
          <w:b w:val="0"/>
          <w:i w:val="0"/>
          <w:color w:val="233142"/>
          <w:sz w:val="22"/>
        </w:rPr>
        <w:t>The 3D-printing, supplier, casting-slip, and in-house-capability material should remain in a validation queue. It can inform one small, safe feasibility test, but it is not an approved production SOP or purchasing record.</w:t>
      </w:r>
    </w:p>
    <w:p>
      <w:pPr>
        <w:pStyle w:val="ListBullet"/>
        <w:spacing w:after="100" w:line="264" w:lineRule="auto"/>
      </w:pPr>
      <w:r>
        <w:rPr>
          <w:rFonts w:ascii="Calibri" w:hAnsi="Calibri"/>
          <w:b w:val="0"/>
          <w:i w:val="0"/>
          <w:color w:val="233142"/>
          <w:sz w:val="22"/>
        </w:rPr>
        <w:t>The operating scorecard should prioritize Fired Arts’ own reach, replies, visits, bookings, pickup returns, partner responses, labor, and experiment margin.</w:t>
      </w:r>
    </w:p>
    <w:p>
      <w:pPr>
        <w:pStyle w:val="Heading1"/>
        <w:keepNext/>
      </w:pPr>
      <w:r>
        <w:rPr>
          <w:rFonts w:ascii="Calibri" w:hAnsi="Calibri"/>
          <w:b/>
          <w:i w:val="0"/>
          <w:color w:val="2E74B5"/>
          <w:sz w:val="32"/>
        </w:rPr>
        <w:t>What is now organized</w:t>
      </w:r>
    </w:p>
    <w:tbl>
      <w:tblPr>
        <w:tblW w:type="dxa" w:w="9360"/>
        <w:jc w:val="left"/>
        <w:tblLayout w:type="fixed"/>
        <w:tblLook w:firstColumn="1" w:firstRow="1" w:lastColumn="0" w:lastRow="0" w:noHBand="0" w:noVBand="1" w:val="04A0"/>
        <w:tblInd w:w="120" w:type="dxa"/>
      </w:tblPr>
      <w:tblGrid>
        <w:gridCol w:w="1900"/>
        <w:gridCol w:w="3900"/>
        <w:gridCol w:w="3560"/>
      </w:tblGrid>
      <w:tr>
        <w:tc>
          <w:tcPr>
            <w:tcW w:type="dxa" w:w="1900"/>
            <w:tcMar>
              <w:top w:w="90" w:type="dxa"/>
              <w:start w:w="120" w:type="dxa"/>
              <w:bottom w:w="90" w:type="dxa"/>
              <w:end w:w="120" w:type="dxa"/>
            </w:tcMar>
            <w:vAlign w:val="center"/>
            <w:shd w:fill="F2F4F7"/>
          </w:tcPr>
          <w:p>
            <w:pPr>
              <w:spacing w:after="0"/>
            </w:pPr>
            <w:r>
              <w:rPr>
                <w:rFonts w:ascii="Calibri" w:hAnsi="Calibri"/>
                <w:b/>
                <w:i w:val="0"/>
                <w:color w:val="233142"/>
                <w:sz w:val="19"/>
              </w:rPr>
              <w:t>Working layer</w:t>
            </w:r>
          </w:p>
        </w:tc>
        <w:tc>
          <w:tcPr>
            <w:tcW w:type="dxa" w:w="3900"/>
            <w:tcMar>
              <w:top w:w="90" w:type="dxa"/>
              <w:start w:w="120" w:type="dxa"/>
              <w:bottom w:w="90" w:type="dxa"/>
              <w:end w:w="120" w:type="dxa"/>
            </w:tcMar>
            <w:vAlign w:val="center"/>
            <w:shd w:fill="F2F4F7"/>
          </w:tcPr>
          <w:p>
            <w:pPr>
              <w:spacing w:after="0"/>
            </w:pPr>
            <w:r>
              <w:rPr>
                <w:rFonts w:ascii="Calibri" w:hAnsi="Calibri"/>
                <w:b/>
                <w:i w:val="0"/>
                <w:color w:val="233142"/>
                <w:sz w:val="19"/>
              </w:rPr>
              <w:t>What it contains</w:t>
            </w:r>
          </w:p>
        </w:tc>
        <w:tc>
          <w:tcPr>
            <w:tcW w:type="dxa" w:w="3560"/>
            <w:tcMar>
              <w:top w:w="90" w:type="dxa"/>
              <w:start w:w="120" w:type="dxa"/>
              <w:bottom w:w="90" w:type="dxa"/>
              <w:end w:w="120" w:type="dxa"/>
            </w:tcMar>
            <w:vAlign w:val="center"/>
            <w:shd w:fill="F2F4F7"/>
          </w:tcPr>
          <w:p>
            <w:pPr>
              <w:spacing w:after="0"/>
            </w:pPr>
            <w:r>
              <w:rPr>
                <w:rFonts w:ascii="Calibri" w:hAnsi="Calibri"/>
                <w:b/>
                <w:i w:val="0"/>
                <w:color w:val="233142"/>
                <w:sz w:val="19"/>
              </w:rPr>
              <w:t>How to use it</w:t>
            </w:r>
          </w:p>
        </w:tc>
      </w:tr>
      <w:tr>
        <w:tc>
          <w:tcPr>
            <w:tcW w:type="dxa" w:w="1900"/>
          </w:tcPr>
          <w:p>
            <w:pPr>
              <w:spacing w:after="0" w:line="252" w:lineRule="auto"/>
            </w:pPr>
            <w:r>
              <w:rPr>
                <w:rFonts w:ascii="Calibri" w:hAnsi="Calibri"/>
                <w:b w:val="0"/>
                <w:i w:val="0"/>
                <w:color w:val="233142"/>
                <w:sz w:val="19"/>
              </w:rPr>
              <w:t>Source register</w:t>
            </w:r>
          </w:p>
        </w:tc>
        <w:tc>
          <w:tcPr>
            <w:tcW w:type="dxa" w:w="3900"/>
          </w:tcPr>
          <w:p>
            <w:pPr>
              <w:spacing w:after="0" w:line="252" w:lineRule="auto"/>
            </w:pPr>
            <w:r>
              <w:rPr>
                <w:rFonts w:ascii="Calibri" w:hAnsi="Calibri"/>
                <w:b w:val="0"/>
                <w:i w:val="0"/>
                <w:color w:val="233142"/>
                <w:sz w:val="19"/>
              </w:rPr>
              <w:t>17 supplied files categorized by type, topic, and evidence status.</w:t>
            </w:r>
          </w:p>
        </w:tc>
        <w:tc>
          <w:tcPr>
            <w:tcW w:type="dxa" w:w="3560"/>
          </w:tcPr>
          <w:p>
            <w:pPr>
              <w:spacing w:after="0" w:line="252" w:lineRule="auto"/>
            </w:pPr>
            <w:r>
              <w:rPr>
                <w:rFonts w:ascii="Calibri" w:hAnsi="Calibri"/>
                <w:b w:val="0"/>
                <w:i w:val="0"/>
                <w:color w:val="233142"/>
                <w:sz w:val="19"/>
              </w:rPr>
              <w:t>Start here before treating a claim as a fact.</w:t>
            </w:r>
          </w:p>
        </w:tc>
      </w:tr>
      <w:tr>
        <w:tc>
          <w:tcPr>
            <w:tcW w:type="dxa" w:w="1900"/>
          </w:tcPr>
          <w:p>
            <w:pPr>
              <w:spacing w:after="0" w:line="252" w:lineRule="auto"/>
            </w:pPr>
            <w:r>
              <w:rPr>
                <w:rFonts w:ascii="Calibri" w:hAnsi="Calibri"/>
                <w:b w:val="0"/>
                <w:i w:val="0"/>
                <w:color w:val="233142"/>
                <w:sz w:val="19"/>
              </w:rPr>
              <w:t>Benchmark layer</w:t>
            </w:r>
          </w:p>
        </w:tc>
        <w:tc>
          <w:tcPr>
            <w:tcW w:type="dxa" w:w="3900"/>
          </w:tcPr>
          <w:p>
            <w:pPr>
              <w:spacing w:after="0" w:line="252" w:lineRule="auto"/>
            </w:pPr>
            <w:r>
              <w:rPr>
                <w:rFonts w:ascii="Calibri" w:hAnsi="Calibri"/>
                <w:b w:val="0"/>
                <w:i w:val="0"/>
                <w:color w:val="233142"/>
                <w:sz w:val="19"/>
              </w:rPr>
              <w:t>7 pricing rows, 7 social rows, and 7 observed top-post examples.</w:t>
            </w:r>
          </w:p>
        </w:tc>
        <w:tc>
          <w:tcPr>
            <w:tcW w:type="dxa" w:w="3560"/>
          </w:tcPr>
          <w:p>
            <w:pPr>
              <w:spacing w:after="0" w:line="252" w:lineRule="auto"/>
            </w:pPr>
            <w:r>
              <w:rPr>
                <w:rFonts w:ascii="Calibri" w:hAnsi="Calibri"/>
                <w:b w:val="0"/>
                <w:i w:val="0"/>
                <w:color w:val="233142"/>
                <w:sz w:val="19"/>
              </w:rPr>
              <w:t>Generate specific creative, offer, and positioning tests.</w:t>
            </w:r>
          </w:p>
        </w:tc>
      </w:tr>
      <w:tr>
        <w:tc>
          <w:tcPr>
            <w:tcW w:type="dxa" w:w="1900"/>
          </w:tcPr>
          <w:p>
            <w:pPr>
              <w:spacing w:after="0" w:line="252" w:lineRule="auto"/>
            </w:pPr>
            <w:r>
              <w:rPr>
                <w:rFonts w:ascii="Calibri" w:hAnsi="Calibri"/>
                <w:b w:val="0"/>
                <w:i w:val="0"/>
                <w:color w:val="233142"/>
                <w:sz w:val="19"/>
              </w:rPr>
              <w:t>Content pipeline</w:t>
            </w:r>
          </w:p>
        </w:tc>
        <w:tc>
          <w:tcPr>
            <w:tcW w:type="dxa" w:w="3900"/>
          </w:tcPr>
          <w:p>
            <w:pPr>
              <w:spacing w:after="0" w:line="252" w:lineRule="auto"/>
            </w:pPr>
            <w:r>
              <w:rPr>
                <w:rFonts w:ascii="Calibri" w:hAnsi="Calibri"/>
                <w:b w:val="0"/>
                <w:i w:val="0"/>
                <w:color w:val="233142"/>
                <w:sz w:val="19"/>
              </w:rPr>
              <w:t>7 feed items, 7 Story items, and 5 reshare follow-ups.</w:t>
            </w:r>
          </w:p>
        </w:tc>
        <w:tc>
          <w:tcPr>
            <w:tcW w:type="dxa" w:w="3560"/>
          </w:tcPr>
          <w:p>
            <w:pPr>
              <w:spacing w:after="0" w:line="252" w:lineRule="auto"/>
            </w:pPr>
            <w:r>
              <w:rPr>
                <w:rFonts w:ascii="Calibri" w:hAnsi="Calibri"/>
                <w:b w:val="0"/>
                <w:i w:val="0"/>
                <w:color w:val="233142"/>
                <w:sz w:val="19"/>
              </w:rPr>
              <w:t>Move items from Draft to Ready to Published to Results logged.</w:t>
            </w:r>
          </w:p>
        </w:tc>
      </w:tr>
      <w:tr>
        <w:tc>
          <w:tcPr>
            <w:tcW w:type="dxa" w:w="1900"/>
          </w:tcPr>
          <w:p>
            <w:pPr>
              <w:spacing w:after="0" w:line="252" w:lineRule="auto"/>
            </w:pPr>
            <w:r>
              <w:rPr>
                <w:rFonts w:ascii="Calibri" w:hAnsi="Calibri"/>
                <w:b w:val="0"/>
                <w:i w:val="0"/>
                <w:color w:val="233142"/>
                <w:sz w:val="19"/>
              </w:rPr>
              <w:t>Opportunity backlog</w:t>
            </w:r>
          </w:p>
        </w:tc>
        <w:tc>
          <w:tcPr>
            <w:tcW w:type="dxa" w:w="3900"/>
          </w:tcPr>
          <w:p>
            <w:pPr>
              <w:spacing w:after="0" w:line="252" w:lineRule="auto"/>
            </w:pPr>
            <w:r>
              <w:rPr>
                <w:rFonts w:ascii="Calibri" w:hAnsi="Calibri"/>
                <w:b w:val="0"/>
                <w:i w:val="0"/>
                <w:color w:val="233142"/>
                <w:sz w:val="19"/>
              </w:rPr>
              <w:t>Marketing, retention, product, supplier, and process opportunities.</w:t>
            </w:r>
          </w:p>
        </w:tc>
        <w:tc>
          <w:tcPr>
            <w:tcW w:type="dxa" w:w="3560"/>
          </w:tcPr>
          <w:p>
            <w:pPr>
              <w:spacing w:after="0" w:line="252" w:lineRule="auto"/>
            </w:pPr>
            <w:r>
              <w:rPr>
                <w:rFonts w:ascii="Calibri" w:hAnsi="Calibri"/>
                <w:b w:val="0"/>
                <w:i w:val="0"/>
                <w:color w:val="233142"/>
                <w:sz w:val="19"/>
              </w:rPr>
              <w:t>Assign an owner and run the smallest useful next test.</w:t>
            </w:r>
          </w:p>
        </w:tc>
      </w:tr>
      <w:tr>
        <w:tc>
          <w:tcPr>
            <w:tcW w:type="dxa" w:w="1900"/>
          </w:tcPr>
          <w:p>
            <w:pPr>
              <w:spacing w:after="0" w:line="252" w:lineRule="auto"/>
            </w:pPr>
            <w:r>
              <w:rPr>
                <w:rFonts w:ascii="Calibri" w:hAnsi="Calibri"/>
                <w:b w:val="0"/>
                <w:i w:val="0"/>
                <w:color w:val="233142"/>
                <w:sz w:val="19"/>
              </w:rPr>
              <w:t>Measurement layer</w:t>
            </w:r>
          </w:p>
        </w:tc>
        <w:tc>
          <w:tcPr>
            <w:tcW w:type="dxa" w:w="3900"/>
          </w:tcPr>
          <w:p>
            <w:pPr>
              <w:spacing w:after="0" w:line="252" w:lineRule="auto"/>
            </w:pPr>
            <w:r>
              <w:rPr>
                <w:rFonts w:ascii="Calibri" w:hAnsi="Calibri"/>
                <w:b w:val="0"/>
                <w:i w:val="0"/>
                <w:color w:val="233142"/>
                <w:sz w:val="19"/>
              </w:rPr>
              <w:t>Six baseline/execution measures with definitions and source filenames.</w:t>
            </w:r>
          </w:p>
        </w:tc>
        <w:tc>
          <w:tcPr>
            <w:tcW w:type="dxa" w:w="3560"/>
          </w:tcPr>
          <w:p>
            <w:pPr>
              <w:spacing w:after="0" w:line="252" w:lineRule="auto"/>
            </w:pPr>
            <w:r>
              <w:rPr>
                <w:rFonts w:ascii="Calibri" w:hAnsi="Calibri"/>
                <w:b w:val="0"/>
                <w:i w:val="0"/>
                <w:color w:val="233142"/>
                <w:sz w:val="19"/>
              </w:rPr>
              <w:t>Update actuals as results arrive; keep the definition stable.</w:t>
            </w:r>
          </w:p>
        </w:tc>
      </w:tr>
    </w:tbl>
    <w:p>
      <w:pPr>
        <w:spacing w:before="0" w:after="40" w:line="264" w:lineRule="auto"/>
      </w:pPr>
    </w:p>
    <w:p>
      <w:pPr>
        <w:pStyle w:val="Heading1"/>
        <w:keepNext/>
      </w:pPr>
      <w:r>
        <w:rPr>
          <w:rFonts w:ascii="Calibri" w:hAnsi="Calibri"/>
          <w:b/>
          <w:i w:val="0"/>
          <w:color w:val="2E74B5"/>
          <w:sz w:val="32"/>
        </w:rPr>
        <w:t>Immediate marketing uses</w:t>
      </w:r>
    </w:p>
    <w:p>
      <w:pPr>
        <w:pStyle w:val="Heading2"/>
        <w:keepNext/>
      </w:pPr>
      <w:r>
        <w:rPr>
          <w:rFonts w:ascii="Calibri" w:hAnsi="Calibri"/>
          <w:b/>
          <w:i w:val="0"/>
          <w:color w:val="2E74B5"/>
          <w:sz w:val="26"/>
        </w:rPr>
        <w:t>1. Run the seven-day content pack as an experiment</w:t>
      </w:r>
    </w:p>
    <w:p>
      <w:pPr>
        <w:spacing w:before="0" w:after="120" w:line="264" w:lineRule="auto"/>
      </w:pPr>
      <w:r>
        <w:rPr>
          <w:rFonts w:ascii="Calibri" w:hAnsi="Calibri"/>
          <w:b w:val="0"/>
          <w:i w:val="0"/>
          <w:color w:val="233142"/>
          <w:sz w:val="22"/>
        </w:rPr>
        <w:t>The feed calendar is already structured around concrete visuals: pumpkins, customer creations, mosaics, a kiln unload, a workshop, a team tray, and a bacon-heart walk-in prompt. The Stories calendar adds polls, questions, quizzes, and countdowns; the reshare file provides the second touchpoint. Treat the run as a measurable test, not just a posting schedule.</w:t>
      </w:r>
    </w:p>
    <w:p>
      <w:pPr>
        <w:pStyle w:val="ListBullet"/>
        <w:spacing w:after="100" w:line="264" w:lineRule="auto"/>
      </w:pPr>
      <w:r>
        <w:rPr>
          <w:rFonts w:ascii="Calibri" w:hAnsi="Calibri"/>
          <w:b w:val="0"/>
          <w:i w:val="0"/>
          <w:color w:val="233142"/>
          <w:sz w:val="22"/>
        </w:rPr>
        <w:t>Record reach, replies, saves, shares, profile visits, link actions, and any same-day walk-in or booking mentions.</w:t>
      </w:r>
    </w:p>
    <w:p>
      <w:pPr>
        <w:pStyle w:val="ListBullet"/>
        <w:spacing w:after="100" w:line="264" w:lineRule="auto"/>
      </w:pPr>
      <w:r>
        <w:rPr>
          <w:rFonts w:ascii="Calibri" w:hAnsi="Calibri"/>
          <w:b w:val="0"/>
          <w:i w:val="0"/>
          <w:color w:val="233142"/>
          <w:sz w:val="22"/>
        </w:rPr>
        <w:t>Compare response-led Stories and Reels against the current photo-heavy baseline.</w:t>
      </w:r>
    </w:p>
    <w:p>
      <w:pPr>
        <w:pStyle w:val="ListBullet"/>
        <w:spacing w:after="100" w:line="264" w:lineRule="auto"/>
      </w:pPr>
      <w:r>
        <w:rPr>
          <w:rFonts w:ascii="Calibri" w:hAnsi="Calibri"/>
          <w:b w:val="0"/>
          <w:i w:val="0"/>
          <w:color w:val="233142"/>
          <w:sz w:val="22"/>
        </w:rPr>
        <w:t>Log the result for each item before deciding which format deserves more staff time.</w:t>
      </w:r>
    </w:p>
    <w:p>
      <w:pPr>
        <w:pStyle w:val="Heading2"/>
        <w:keepNext/>
      </w:pPr>
      <w:r>
        <w:rPr>
          <w:rFonts w:ascii="Calibri" w:hAnsi="Calibri"/>
          <w:b/>
          <w:i w:val="0"/>
          <w:color w:val="2E74B5"/>
          <w:sz w:val="26"/>
        </w:rPr>
        <w:t>2. Turn competitor observations into test prompts</w:t>
      </w:r>
    </w:p>
    <w:tbl>
      <w:tblPr>
        <w:tblW w:type="dxa" w:w="9360"/>
        <w:jc w:val="left"/>
        <w:tblLayout w:type="fixed"/>
        <w:tblLook w:firstColumn="1" w:firstRow="1" w:lastColumn="0" w:lastRow="0" w:noHBand="0" w:noVBand="1" w:val="04A0"/>
        <w:tblInd w:w="120" w:type="dxa"/>
      </w:tblPr>
      <w:tblGrid>
        <w:gridCol w:w="2300"/>
        <w:gridCol w:w="4400"/>
        <w:gridCol w:w="2660"/>
      </w:tblGrid>
      <w:tr>
        <w:tc>
          <w:tcPr>
            <w:tcW w:type="dxa" w:w="2300"/>
            <w:tcMar>
              <w:top w:w="90" w:type="dxa"/>
              <w:start w:w="120" w:type="dxa"/>
              <w:bottom w:w="90" w:type="dxa"/>
              <w:end w:w="120" w:type="dxa"/>
            </w:tcMar>
            <w:vAlign w:val="center"/>
            <w:shd w:fill="F2F4F7"/>
          </w:tcPr>
          <w:p>
            <w:pPr>
              <w:spacing w:after="0"/>
            </w:pPr>
            <w:r>
              <w:rPr>
                <w:rFonts w:ascii="Calibri" w:hAnsi="Calibri"/>
                <w:b/>
                <w:i w:val="0"/>
                <w:color w:val="233142"/>
                <w:sz w:val="19"/>
              </w:rPr>
              <w:t>Observed pattern</w:t>
            </w:r>
          </w:p>
        </w:tc>
        <w:tc>
          <w:tcPr>
            <w:tcW w:type="dxa" w:w="4400"/>
            <w:tcMar>
              <w:top w:w="90" w:type="dxa"/>
              <w:start w:w="120" w:type="dxa"/>
              <w:bottom w:w="90" w:type="dxa"/>
              <w:end w:w="120" w:type="dxa"/>
            </w:tcMar>
            <w:vAlign w:val="center"/>
            <w:shd w:fill="F2F4F7"/>
          </w:tcPr>
          <w:p>
            <w:pPr>
              <w:spacing w:after="0"/>
            </w:pPr>
            <w:r>
              <w:rPr>
                <w:rFonts w:ascii="Calibri" w:hAnsi="Calibri"/>
                <w:b/>
                <w:i w:val="0"/>
                <w:color w:val="233142"/>
                <w:sz w:val="19"/>
              </w:rPr>
              <w:t>Fired Arts test</w:t>
            </w:r>
          </w:p>
        </w:tc>
        <w:tc>
          <w:tcPr>
            <w:tcW w:type="dxa" w:w="2660"/>
            <w:tcMar>
              <w:top w:w="90" w:type="dxa"/>
              <w:start w:w="120" w:type="dxa"/>
              <w:bottom w:w="90" w:type="dxa"/>
              <w:end w:w="120" w:type="dxa"/>
            </w:tcMar>
            <w:vAlign w:val="center"/>
            <w:shd w:fill="F2F4F7"/>
          </w:tcPr>
          <w:p>
            <w:pPr>
              <w:spacing w:after="0"/>
            </w:pPr>
            <w:r>
              <w:rPr>
                <w:rFonts w:ascii="Calibri" w:hAnsi="Calibri"/>
                <w:b/>
                <w:i w:val="0"/>
                <w:color w:val="233142"/>
                <w:sz w:val="19"/>
              </w:rPr>
              <w:t>Measure</w:t>
            </w:r>
          </w:p>
        </w:tc>
      </w:tr>
      <w:tr>
        <w:tc>
          <w:tcPr>
            <w:tcW w:type="dxa" w:w="2300"/>
          </w:tcPr>
          <w:p>
            <w:pPr>
              <w:spacing w:after="0" w:line="252" w:lineRule="auto"/>
            </w:pPr>
            <w:r>
              <w:rPr>
                <w:rFonts w:ascii="Calibri" w:hAnsi="Calibri"/>
                <w:b w:val="0"/>
                <w:i w:val="0"/>
                <w:color w:val="233142"/>
                <w:sz w:val="19"/>
              </w:rPr>
              <w:t>Simple / no-studio-fee pricing language</w:t>
            </w:r>
          </w:p>
        </w:tc>
        <w:tc>
          <w:tcPr>
            <w:tcW w:type="dxa" w:w="4400"/>
          </w:tcPr>
          <w:p>
            <w:pPr>
              <w:spacing w:after="0" w:line="252" w:lineRule="auto"/>
            </w:pPr>
            <w:r>
              <w:rPr>
                <w:rFonts w:ascii="Calibri" w:hAnsi="Calibri"/>
                <w:b w:val="0"/>
                <w:i w:val="0"/>
                <w:color w:val="233142"/>
                <w:sz w:val="19"/>
              </w:rPr>
              <w:t>Make the no-studio-fee message the first comment and booking-page headline for one campaign.</w:t>
            </w:r>
          </w:p>
        </w:tc>
        <w:tc>
          <w:tcPr>
            <w:tcW w:type="dxa" w:w="2660"/>
          </w:tcPr>
          <w:p>
            <w:pPr>
              <w:spacing w:after="0" w:line="252" w:lineRule="auto"/>
            </w:pPr>
            <w:r>
              <w:rPr>
                <w:rFonts w:ascii="Calibri" w:hAnsi="Calibri"/>
                <w:b w:val="0"/>
                <w:i w:val="0"/>
                <w:color w:val="233142"/>
                <w:sz w:val="19"/>
              </w:rPr>
              <w:t>Questions, visits, and booking completion.</w:t>
            </w:r>
          </w:p>
        </w:tc>
      </w:tr>
      <w:tr>
        <w:tc>
          <w:tcPr>
            <w:tcW w:type="dxa" w:w="2300"/>
          </w:tcPr>
          <w:p>
            <w:pPr>
              <w:spacing w:after="0" w:line="252" w:lineRule="auto"/>
            </w:pPr>
            <w:r>
              <w:rPr>
                <w:rFonts w:ascii="Calibri" w:hAnsi="Calibri"/>
                <w:b w:val="0"/>
                <w:i w:val="0"/>
                <w:color w:val="233142"/>
                <w:sz w:val="19"/>
              </w:rPr>
              <w:t>Seasonal drops and themed workshops</w:t>
            </w:r>
          </w:p>
        </w:tc>
        <w:tc>
          <w:tcPr>
            <w:tcW w:type="dxa" w:w="4400"/>
          </w:tcPr>
          <w:p>
            <w:pPr>
              <w:spacing w:after="0" w:line="252" w:lineRule="auto"/>
            </w:pPr>
            <w:r>
              <w:rPr>
                <w:rFonts w:ascii="Calibri" w:hAnsi="Calibri"/>
                <w:b w:val="0"/>
                <w:i w:val="0"/>
                <w:color w:val="233142"/>
                <w:sz w:val="19"/>
              </w:rPr>
              <w:t>Run one limited seasonal shape or team-themed workshop with a clear date.</w:t>
            </w:r>
          </w:p>
        </w:tc>
        <w:tc>
          <w:tcPr>
            <w:tcW w:type="dxa" w:w="2660"/>
          </w:tcPr>
          <w:p>
            <w:pPr>
              <w:spacing w:after="0" w:line="252" w:lineRule="auto"/>
            </w:pPr>
            <w:r>
              <w:rPr>
                <w:rFonts w:ascii="Calibri" w:hAnsi="Calibri"/>
                <w:b w:val="0"/>
                <w:i w:val="0"/>
                <w:color w:val="233142"/>
                <w:sz w:val="19"/>
              </w:rPr>
              <w:t>Seats saved, attendance, and margin.</w:t>
            </w:r>
          </w:p>
        </w:tc>
      </w:tr>
      <w:tr>
        <w:tc>
          <w:tcPr>
            <w:tcW w:type="dxa" w:w="2300"/>
          </w:tcPr>
          <w:p>
            <w:pPr>
              <w:spacing w:after="0" w:line="252" w:lineRule="auto"/>
            </w:pPr>
            <w:r>
              <w:rPr>
                <w:rFonts w:ascii="Calibri" w:hAnsi="Calibri"/>
                <w:b w:val="0"/>
                <w:i w:val="0"/>
                <w:color w:val="233142"/>
                <w:sz w:val="19"/>
              </w:rPr>
              <w:t>Progress, custom products, and Reels</w:t>
            </w:r>
          </w:p>
        </w:tc>
        <w:tc>
          <w:tcPr>
            <w:tcW w:type="dxa" w:w="4400"/>
          </w:tcPr>
          <w:p>
            <w:pPr>
              <w:spacing w:after="0" w:line="252" w:lineRule="auto"/>
            </w:pPr>
            <w:r>
              <w:rPr>
                <w:rFonts w:ascii="Calibri" w:hAnsi="Calibri"/>
                <w:b w:val="0"/>
                <w:i w:val="0"/>
                <w:color w:val="233142"/>
                <w:sz w:val="19"/>
              </w:rPr>
              <w:t>Test kiln unload, customer-creation, and one local-exclusive Reel.</w:t>
            </w:r>
          </w:p>
        </w:tc>
        <w:tc>
          <w:tcPr>
            <w:tcW w:type="dxa" w:w="2660"/>
          </w:tcPr>
          <w:p>
            <w:pPr>
              <w:spacing w:after="0" w:line="252" w:lineRule="auto"/>
            </w:pPr>
            <w:r>
              <w:rPr>
                <w:rFonts w:ascii="Calibri" w:hAnsi="Calibri"/>
                <w:b w:val="0"/>
                <w:i w:val="0"/>
                <w:color w:val="233142"/>
                <w:sz w:val="19"/>
              </w:rPr>
              <w:t>3-second retention, completion, replies, and visits.</w:t>
            </w:r>
          </w:p>
        </w:tc>
      </w:tr>
      <w:tr>
        <w:tc>
          <w:tcPr>
            <w:tcW w:type="dxa" w:w="2300"/>
          </w:tcPr>
          <w:p>
            <w:pPr>
              <w:spacing w:after="0" w:line="252" w:lineRule="auto"/>
            </w:pPr>
            <w:r>
              <w:rPr>
                <w:rFonts w:ascii="Calibri" w:hAnsi="Calibri"/>
                <w:b w:val="0"/>
                <w:i w:val="0"/>
                <w:color w:val="233142"/>
                <w:sz w:val="19"/>
              </w:rPr>
              <w:t>Local identity and partner tie-ins</w:t>
            </w:r>
          </w:p>
        </w:tc>
        <w:tc>
          <w:tcPr>
            <w:tcW w:type="dxa" w:w="4400"/>
          </w:tcPr>
          <w:p>
            <w:pPr>
              <w:spacing w:after="0" w:line="252" w:lineRule="auto"/>
            </w:pPr>
            <w:r>
              <w:rPr>
                <w:rFonts w:ascii="Calibri" w:hAnsi="Calibri"/>
                <w:b w:val="0"/>
                <w:i w:val="0"/>
                <w:color w:val="233142"/>
                <w:sz w:val="19"/>
              </w:rPr>
              <w:t>Pair one Fired Arts activity with a school, downtown, or community partner.</w:t>
            </w:r>
          </w:p>
        </w:tc>
        <w:tc>
          <w:tcPr>
            <w:tcW w:type="dxa" w:w="2660"/>
          </w:tcPr>
          <w:p>
            <w:pPr>
              <w:spacing w:after="0" w:line="252" w:lineRule="auto"/>
            </w:pPr>
            <w:r>
              <w:rPr>
                <w:rFonts w:ascii="Calibri" w:hAnsi="Calibri"/>
                <w:b w:val="0"/>
                <w:i w:val="0"/>
                <w:color w:val="233142"/>
                <w:sz w:val="19"/>
              </w:rPr>
              <w:t>Partner response, referrals, and attributable visits.</w:t>
            </w:r>
          </w:p>
        </w:tc>
      </w:tr>
    </w:tbl>
    <w:p>
      <w:pPr>
        <w:spacing w:before="0" w:after="40" w:line="264" w:lineRule="auto"/>
      </w:pPr>
    </w:p>
    <w:p>
      <w:pPr>
        <w:pStyle w:val="Heading2"/>
        <w:keepNext/>
      </w:pPr>
      <w:r>
        <w:rPr>
          <w:rFonts w:ascii="Calibri" w:hAnsi="Calibri"/>
          <w:b/>
          <w:i w:val="0"/>
          <w:color w:val="2E74B5"/>
          <w:sz w:val="26"/>
        </w:rPr>
        <w:t>3. Make pickup a measurable return moment</w:t>
      </w:r>
    </w:p>
    <w:p>
      <w:pPr>
        <w:spacing w:before="0" w:after="120" w:line="264" w:lineRule="auto"/>
      </w:pPr>
      <w:r>
        <w:rPr>
          <w:rFonts w:ascii="Calibri" w:hAnsi="Calibri"/>
          <w:b w:val="0"/>
          <w:i w:val="0"/>
          <w:color w:val="233142"/>
          <w:sz w:val="22"/>
        </w:rPr>
        <w:t>The existing Growth HQ already tracks one-week firing and pickup workflows. Add a welcome-back offer at pickup, give it a simple redemption rule, and record redemptions for 30 days. This is a lower-risk retention test than introducing a new production process.</w:t>
      </w:r>
    </w:p>
    <w:p>
      <w:r>
        <w:br w:type="page"/>
      </w:r>
    </w:p>
    <w:p>
      <w:pPr>
        <w:pStyle w:val="Heading1"/>
        <w:keepNext/>
      </w:pPr>
      <w:r>
        <w:rPr>
          <w:rFonts w:ascii="Calibri" w:hAnsi="Calibri"/>
          <w:b/>
          <w:i w:val="0"/>
          <w:color w:val="2E74B5"/>
          <w:sz w:val="32"/>
        </w:rPr>
        <w:t>Product and process opportunity map</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FF5F2"/>
          </w:tcPr>
          <w:p>
            <w:pPr>
              <w:spacing w:after="0" w:line="264" w:lineRule="auto"/>
            </w:pPr>
            <w:r>
              <w:rPr>
                <w:rFonts w:ascii="Calibri" w:hAnsi="Calibri"/>
                <w:b/>
                <w:i w:val="0"/>
                <w:color w:val="B4473E"/>
                <w:sz w:val="20"/>
              </w:rPr>
              <w:t xml:space="preserve">Guardrail.  </w:t>
            </w:r>
            <w:r>
              <w:rPr>
                <w:rFonts w:ascii="Calibri" w:hAnsi="Calibri"/>
                <w:b w:val="0"/>
                <w:i w:val="0"/>
                <w:color w:val="233142"/>
                <w:sz w:val="20"/>
              </w:rPr>
              <w:t>No custom production, supplier change, casting-slip selection, or plaster workflow should be approved from the AI transcripts alone. Validate equipment, staffing, contamination controls, firing compatibility, cost, lead time, and margin first.</w:t>
            </w:r>
          </w:p>
        </w:tc>
      </w:tr>
    </w:tbl>
    <w:p>
      <w:pPr>
        <w:spacing w:before="0" w:after="40" w:line="264" w:lineRule="auto"/>
      </w:pPr>
    </w:p>
    <w:tbl>
      <w:tblPr>
        <w:tblW w:type="dxa" w:w="9360"/>
        <w:jc w:val="left"/>
        <w:tblLayout w:type="fixed"/>
        <w:tblLook w:firstColumn="1" w:firstRow="1" w:lastColumn="0" w:lastRow="0" w:noHBand="0" w:noVBand="1" w:val="04A0"/>
        <w:tblInd w:w="120" w:type="dxa"/>
      </w:tblPr>
      <w:tblGrid>
        <w:gridCol w:w="1900"/>
        <w:gridCol w:w="2050"/>
        <w:gridCol w:w="3500"/>
        <w:gridCol w:w="1910"/>
      </w:tblGrid>
      <w:tr>
        <w:tc>
          <w:tcPr>
            <w:tcW w:type="dxa" w:w="1900"/>
            <w:tcMar>
              <w:top w:w="90" w:type="dxa"/>
              <w:start w:w="120" w:type="dxa"/>
              <w:bottom w:w="90" w:type="dxa"/>
              <w:end w:w="120" w:type="dxa"/>
            </w:tcMar>
            <w:vAlign w:val="center"/>
            <w:shd w:fill="F2F4F7"/>
          </w:tcPr>
          <w:p>
            <w:pPr>
              <w:spacing w:after="0"/>
            </w:pPr>
            <w:r>
              <w:rPr>
                <w:rFonts w:ascii="Calibri" w:hAnsi="Calibri"/>
                <w:b/>
                <w:i w:val="0"/>
                <w:color w:val="233142"/>
                <w:sz w:val="18"/>
              </w:rPr>
              <w:t>Opportunity</w:t>
            </w:r>
          </w:p>
        </w:tc>
        <w:tc>
          <w:tcPr>
            <w:tcW w:type="dxa" w:w="2050"/>
            <w:tcMar>
              <w:top w:w="90" w:type="dxa"/>
              <w:start w:w="120" w:type="dxa"/>
              <w:bottom w:w="90" w:type="dxa"/>
              <w:end w:w="120" w:type="dxa"/>
            </w:tcMar>
            <w:vAlign w:val="center"/>
            <w:shd w:fill="F2F4F7"/>
          </w:tcPr>
          <w:p>
            <w:pPr>
              <w:spacing w:after="0"/>
            </w:pPr>
            <w:r>
              <w:rPr>
                <w:rFonts w:ascii="Calibri" w:hAnsi="Calibri"/>
                <w:b/>
                <w:i w:val="0"/>
                <w:color w:val="233142"/>
                <w:sz w:val="18"/>
              </w:rPr>
              <w:t>Current evidence state</w:t>
            </w:r>
          </w:p>
        </w:tc>
        <w:tc>
          <w:tcPr>
            <w:tcW w:type="dxa" w:w="3500"/>
            <w:tcMar>
              <w:top w:w="90" w:type="dxa"/>
              <w:start w:w="120" w:type="dxa"/>
              <w:bottom w:w="90" w:type="dxa"/>
              <w:end w:w="120" w:type="dxa"/>
            </w:tcMar>
            <w:vAlign w:val="center"/>
            <w:shd w:fill="F2F4F7"/>
          </w:tcPr>
          <w:p>
            <w:pPr>
              <w:spacing w:after="0"/>
            </w:pPr>
            <w:r>
              <w:rPr>
                <w:rFonts w:ascii="Calibri" w:hAnsi="Calibri"/>
                <w:b/>
                <w:i w:val="0"/>
                <w:color w:val="233142"/>
                <w:sz w:val="18"/>
              </w:rPr>
              <w:t>Recommended next test</w:t>
            </w:r>
          </w:p>
        </w:tc>
        <w:tc>
          <w:tcPr>
            <w:tcW w:type="dxa" w:w="1910"/>
            <w:tcMar>
              <w:top w:w="90" w:type="dxa"/>
              <w:start w:w="120" w:type="dxa"/>
              <w:bottom w:w="90" w:type="dxa"/>
              <w:end w:w="120" w:type="dxa"/>
            </w:tcMar>
            <w:vAlign w:val="center"/>
            <w:shd w:fill="F2F4F7"/>
          </w:tcPr>
          <w:p>
            <w:pPr>
              <w:spacing w:after="0"/>
            </w:pPr>
            <w:r>
              <w:rPr>
                <w:rFonts w:ascii="Calibri" w:hAnsi="Calibri"/>
                <w:b/>
                <w:i w:val="0"/>
                <w:color w:val="233142"/>
                <w:sz w:val="18"/>
              </w:rPr>
              <w:t>Decision boundary</w:t>
            </w:r>
          </w:p>
        </w:tc>
      </w:tr>
      <w:tr>
        <w:tc>
          <w:tcPr>
            <w:tcW w:type="dxa" w:w="1900"/>
          </w:tcPr>
          <w:p>
            <w:pPr>
              <w:spacing w:after="0" w:line="252" w:lineRule="auto"/>
            </w:pPr>
            <w:r>
              <w:rPr>
                <w:rFonts w:ascii="Calibri" w:hAnsi="Calibri"/>
                <w:b w:val="0"/>
                <w:i w:val="0"/>
                <w:color w:val="233142"/>
                <w:sz w:val="18"/>
              </w:rPr>
              <w:t>Response-led local content</w:t>
            </w:r>
          </w:p>
        </w:tc>
        <w:tc>
          <w:tcPr>
            <w:tcW w:type="dxa" w:w="2050"/>
          </w:tcPr>
          <w:p>
            <w:pPr>
              <w:spacing w:after="0" w:line="252" w:lineRule="auto"/>
            </w:pPr>
            <w:r>
              <w:rPr>
                <w:rFonts w:ascii="Calibri" w:hAnsi="Calibri"/>
                <w:b w:val="0"/>
                <w:i w:val="0"/>
                <w:color w:val="233142"/>
                <w:sz w:val="18"/>
              </w:rPr>
              <w:t>Hypothesis supported by supplied social observations and calendars.</w:t>
            </w:r>
          </w:p>
        </w:tc>
        <w:tc>
          <w:tcPr>
            <w:tcW w:type="dxa" w:w="3500"/>
          </w:tcPr>
          <w:p>
            <w:pPr>
              <w:spacing w:after="0" w:line="252" w:lineRule="auto"/>
            </w:pPr>
            <w:r>
              <w:rPr>
                <w:rFonts w:ascii="Calibri" w:hAnsi="Calibri"/>
                <w:b w:val="0"/>
                <w:i w:val="0"/>
                <w:color w:val="233142"/>
                <w:sz w:val="18"/>
              </w:rPr>
              <w:t>Run seven days; log response and visit signals.</w:t>
            </w:r>
          </w:p>
        </w:tc>
        <w:tc>
          <w:tcPr>
            <w:tcW w:type="dxa" w:w="1910"/>
          </w:tcPr>
          <w:p>
            <w:pPr>
              <w:spacing w:after="0" w:line="252" w:lineRule="auto"/>
            </w:pPr>
            <w:r>
              <w:rPr>
                <w:rFonts w:ascii="Calibri" w:hAnsi="Calibri"/>
                <w:b w:val="0"/>
                <w:i w:val="0"/>
                <w:color w:val="233142"/>
                <w:sz w:val="18"/>
              </w:rPr>
              <w:t>Ready to test.</w:t>
            </w:r>
          </w:p>
        </w:tc>
      </w:tr>
      <w:tr>
        <w:tc>
          <w:tcPr>
            <w:tcW w:type="dxa" w:w="1900"/>
          </w:tcPr>
          <w:p>
            <w:pPr>
              <w:spacing w:after="0" w:line="252" w:lineRule="auto"/>
            </w:pPr>
            <w:r>
              <w:rPr>
                <w:rFonts w:ascii="Calibri" w:hAnsi="Calibri"/>
                <w:b w:val="0"/>
                <w:i w:val="0"/>
                <w:color w:val="233142"/>
                <w:sz w:val="18"/>
              </w:rPr>
              <w:t>Pickup-to-return loop</w:t>
            </w:r>
          </w:p>
        </w:tc>
        <w:tc>
          <w:tcPr>
            <w:tcW w:type="dxa" w:w="2050"/>
          </w:tcPr>
          <w:p>
            <w:pPr>
              <w:spacing w:after="0" w:line="252" w:lineRule="auto"/>
            </w:pPr>
            <w:r>
              <w:rPr>
                <w:rFonts w:ascii="Calibri" w:hAnsi="Calibri"/>
                <w:b w:val="0"/>
                <w:i w:val="0"/>
                <w:color w:val="233142"/>
                <w:sz w:val="18"/>
              </w:rPr>
              <w:t>Ready-to-test retention idea supported by existing studio workflow.</w:t>
            </w:r>
          </w:p>
        </w:tc>
        <w:tc>
          <w:tcPr>
            <w:tcW w:type="dxa" w:w="3500"/>
          </w:tcPr>
          <w:p>
            <w:pPr>
              <w:spacing w:after="0" w:line="252" w:lineRule="auto"/>
            </w:pPr>
            <w:r>
              <w:rPr>
                <w:rFonts w:ascii="Calibri" w:hAnsi="Calibri"/>
                <w:b w:val="0"/>
                <w:i w:val="0"/>
                <w:color w:val="233142"/>
                <w:sz w:val="18"/>
              </w:rPr>
              <w:t>Add a coupon and track 30-day redemption.</w:t>
            </w:r>
          </w:p>
        </w:tc>
        <w:tc>
          <w:tcPr>
            <w:tcW w:type="dxa" w:w="1910"/>
          </w:tcPr>
          <w:p>
            <w:pPr>
              <w:spacing w:after="0" w:line="252" w:lineRule="auto"/>
            </w:pPr>
            <w:r>
              <w:rPr>
                <w:rFonts w:ascii="Calibri" w:hAnsi="Calibri"/>
                <w:b w:val="0"/>
                <w:i w:val="0"/>
                <w:color w:val="233142"/>
                <w:sz w:val="18"/>
              </w:rPr>
              <w:t>Build without technical risk.</w:t>
            </w:r>
          </w:p>
        </w:tc>
      </w:tr>
      <w:tr>
        <w:tc>
          <w:tcPr>
            <w:tcW w:type="dxa" w:w="1900"/>
          </w:tcPr>
          <w:p>
            <w:pPr>
              <w:spacing w:after="0" w:line="252" w:lineRule="auto"/>
            </w:pPr>
            <w:r>
              <w:rPr>
                <w:rFonts w:ascii="Calibri" w:hAnsi="Calibri"/>
                <w:b w:val="0"/>
                <w:i w:val="0"/>
                <w:color w:val="233142"/>
                <w:sz w:val="18"/>
              </w:rPr>
              <w:t>Kokomo micro-batch exclusive</w:t>
            </w:r>
          </w:p>
        </w:tc>
        <w:tc>
          <w:tcPr>
            <w:tcW w:type="dxa" w:w="2050"/>
          </w:tcPr>
          <w:p>
            <w:pPr>
              <w:spacing w:after="0" w:line="252" w:lineRule="auto"/>
            </w:pPr>
            <w:r>
              <w:rPr>
                <w:rFonts w:ascii="Calibri" w:hAnsi="Calibri"/>
                <w:b w:val="0"/>
                <w:i w:val="0"/>
                <w:color w:val="233142"/>
                <w:sz w:val="18"/>
              </w:rPr>
              <w:t>Hypothesis from AI transcripts about 3D-printed masters and mold making.</w:t>
            </w:r>
          </w:p>
        </w:tc>
        <w:tc>
          <w:tcPr>
            <w:tcW w:type="dxa" w:w="3500"/>
          </w:tcPr>
          <w:p>
            <w:pPr>
              <w:spacing w:after="0" w:line="252" w:lineRule="auto"/>
            </w:pPr>
            <w:r>
              <w:rPr>
                <w:rFonts w:ascii="Calibri" w:hAnsi="Calibri"/>
                <w:b w:val="0"/>
                <w:i w:val="0"/>
                <w:color w:val="233142"/>
                <w:sz w:val="18"/>
              </w:rPr>
              <w:t>Choose one simple open form; validate safety, labor, cost, and firing fit before a 10–30 piece pilot.</w:t>
            </w:r>
          </w:p>
        </w:tc>
        <w:tc>
          <w:tcPr>
            <w:tcW w:type="dxa" w:w="1910"/>
          </w:tcPr>
          <w:p>
            <w:pPr>
              <w:spacing w:after="0" w:line="252" w:lineRule="auto"/>
            </w:pPr>
            <w:r>
              <w:rPr>
                <w:rFonts w:ascii="Calibri" w:hAnsi="Calibri"/>
                <w:b w:val="0"/>
                <w:i w:val="0"/>
                <w:color w:val="233142"/>
                <w:sz w:val="18"/>
              </w:rPr>
              <w:t>Do not approve production yet.</w:t>
            </w:r>
          </w:p>
        </w:tc>
      </w:tr>
      <w:tr>
        <w:tc>
          <w:tcPr>
            <w:tcW w:type="dxa" w:w="1900"/>
          </w:tcPr>
          <w:p>
            <w:pPr>
              <w:spacing w:after="0" w:line="252" w:lineRule="auto"/>
            </w:pPr>
            <w:r>
              <w:rPr>
                <w:rFonts w:ascii="Calibri" w:hAnsi="Calibri"/>
                <w:b w:val="0"/>
                <w:i w:val="0"/>
                <w:color w:val="233142"/>
                <w:sz w:val="18"/>
              </w:rPr>
              <w:t>Supplier and casting-slip audit</w:t>
            </w:r>
          </w:p>
        </w:tc>
        <w:tc>
          <w:tcPr>
            <w:tcW w:type="dxa" w:w="2050"/>
          </w:tcPr>
          <w:p>
            <w:pPr>
              <w:spacing w:after="0" w:line="252" w:lineRule="auto"/>
            </w:pPr>
            <w:r>
              <w:rPr>
                <w:rFonts w:ascii="Calibri" w:hAnsi="Calibri"/>
                <w:b w:val="0"/>
                <w:i w:val="0"/>
                <w:color w:val="233142"/>
                <w:sz w:val="18"/>
              </w:rPr>
              <w:t>Needs verification; transcripts are not purchasing records.</w:t>
            </w:r>
          </w:p>
        </w:tc>
        <w:tc>
          <w:tcPr>
            <w:tcW w:type="dxa" w:w="3500"/>
          </w:tcPr>
          <w:p>
            <w:pPr>
              <w:spacing w:after="0" w:line="252" w:lineRule="auto"/>
            </w:pPr>
            <w:r>
              <w:rPr>
                <w:rFonts w:ascii="Calibri" w:hAnsi="Calibri"/>
                <w:b w:val="0"/>
                <w:i w:val="0"/>
                <w:color w:val="233142"/>
                <w:sz w:val="18"/>
              </w:rPr>
              <w:t>Confirm current suppliers, invoices, product codes, shipping, availability, and glaze compatibility.</w:t>
            </w:r>
          </w:p>
        </w:tc>
        <w:tc>
          <w:tcPr>
            <w:tcW w:type="dxa" w:w="1910"/>
          </w:tcPr>
          <w:p>
            <w:pPr>
              <w:spacing w:after="0" w:line="252" w:lineRule="auto"/>
            </w:pPr>
            <w:r>
              <w:rPr>
                <w:rFonts w:ascii="Calibri" w:hAnsi="Calibri"/>
                <w:b w:val="0"/>
                <w:i w:val="0"/>
                <w:color w:val="233142"/>
                <w:sz w:val="18"/>
              </w:rPr>
              <w:t>Research only until confirmed.</w:t>
            </w:r>
          </w:p>
        </w:tc>
      </w:tr>
      <w:tr>
        <w:tc>
          <w:tcPr>
            <w:tcW w:type="dxa" w:w="1900"/>
          </w:tcPr>
          <w:p>
            <w:pPr>
              <w:spacing w:after="0" w:line="252" w:lineRule="auto"/>
            </w:pPr>
            <w:r>
              <w:rPr>
                <w:rFonts w:ascii="Calibri" w:hAnsi="Calibri"/>
                <w:b w:val="0"/>
                <w:i w:val="0"/>
                <w:color w:val="233142"/>
                <w:sz w:val="18"/>
              </w:rPr>
              <w:t>External custom manufacturing</w:t>
            </w:r>
          </w:p>
        </w:tc>
        <w:tc>
          <w:tcPr>
            <w:tcW w:type="dxa" w:w="2050"/>
          </w:tcPr>
          <w:p>
            <w:pPr>
              <w:spacing w:after="0" w:line="252" w:lineRule="auto"/>
            </w:pPr>
            <w:r>
              <w:rPr>
                <w:rFonts w:ascii="Calibri" w:hAnsi="Calibri"/>
                <w:b w:val="0"/>
                <w:i w:val="0"/>
                <w:color w:val="233142"/>
                <w:sz w:val="18"/>
              </w:rPr>
              <w:t>Needs verification; volume and MOQ assumptions are unconfirmed.</w:t>
            </w:r>
          </w:p>
        </w:tc>
        <w:tc>
          <w:tcPr>
            <w:tcW w:type="dxa" w:w="3500"/>
          </w:tcPr>
          <w:p>
            <w:pPr>
              <w:spacing w:after="0" w:line="252" w:lineRule="auto"/>
            </w:pPr>
            <w:r>
              <w:rPr>
                <w:rFonts w:ascii="Calibri" w:hAnsi="Calibri"/>
                <w:b w:val="0"/>
                <w:i w:val="0"/>
                <w:color w:val="233142"/>
                <w:sz w:val="18"/>
              </w:rPr>
              <w:t>Obtain a quote only after a design, volume, target margin, and lead-time case exist.</w:t>
            </w:r>
          </w:p>
        </w:tc>
        <w:tc>
          <w:tcPr>
            <w:tcW w:type="dxa" w:w="1910"/>
          </w:tcPr>
          <w:p>
            <w:pPr>
              <w:spacing w:after="0" w:line="252" w:lineRule="auto"/>
            </w:pPr>
            <w:r>
              <w:rPr>
                <w:rFonts w:ascii="Calibri" w:hAnsi="Calibri"/>
                <w:b w:val="0"/>
                <w:i w:val="0"/>
                <w:color w:val="233142"/>
                <w:sz w:val="18"/>
              </w:rPr>
              <w:t>Park until a real business case exists.</w:t>
            </w:r>
          </w:p>
        </w:tc>
      </w:tr>
    </w:tbl>
    <w:p>
      <w:pPr>
        <w:spacing w:before="0" w:after="40" w:line="264" w:lineRule="auto"/>
      </w:pPr>
    </w:p>
    <w:p>
      <w:pPr>
        <w:pStyle w:val="Heading1"/>
        <w:keepNext/>
      </w:pPr>
      <w:r>
        <w:rPr>
          <w:rFonts w:ascii="Calibri" w:hAnsi="Calibri"/>
          <w:b/>
          <w:i w:val="0"/>
          <w:color w:val="2E74B5"/>
          <w:sz w:val="32"/>
        </w:rPr>
        <w:t>30 / 60 / 90-day operating sequence</w:t>
      </w:r>
    </w:p>
    <w:tbl>
      <w:tblPr>
        <w:tblW w:type="dxa" w:w="9360"/>
        <w:jc w:val="left"/>
        <w:tblLayout w:type="fixed"/>
        <w:tblLook w:firstColumn="1" w:firstRow="1" w:lastColumn="0" w:lastRow="0" w:noHBand="0" w:noVBand="1" w:val="04A0"/>
        <w:tblInd w:w="120" w:type="dxa"/>
      </w:tblPr>
      <w:tblGrid>
        <w:gridCol w:w="1500"/>
        <w:gridCol w:w="4700"/>
        <w:gridCol w:w="3160"/>
      </w:tblGrid>
      <w:tr>
        <w:tc>
          <w:tcPr>
            <w:tcW w:type="dxa" w:w="1500"/>
            <w:tcMar>
              <w:top w:w="90" w:type="dxa"/>
              <w:start w:w="120" w:type="dxa"/>
              <w:bottom w:w="90" w:type="dxa"/>
              <w:end w:w="120" w:type="dxa"/>
            </w:tcMar>
            <w:vAlign w:val="center"/>
            <w:shd w:fill="F2F4F7"/>
          </w:tcPr>
          <w:p>
            <w:pPr>
              <w:spacing w:after="0"/>
            </w:pPr>
            <w:r>
              <w:rPr>
                <w:rFonts w:ascii="Calibri" w:hAnsi="Calibri"/>
                <w:b/>
                <w:i w:val="0"/>
                <w:color w:val="233142"/>
                <w:sz w:val="19"/>
              </w:rPr>
              <w:t>Window</w:t>
            </w:r>
          </w:p>
        </w:tc>
        <w:tc>
          <w:tcPr>
            <w:tcW w:type="dxa" w:w="4700"/>
            <w:tcMar>
              <w:top w:w="90" w:type="dxa"/>
              <w:start w:w="120" w:type="dxa"/>
              <w:bottom w:w="90" w:type="dxa"/>
              <w:end w:w="120" w:type="dxa"/>
            </w:tcMar>
            <w:vAlign w:val="center"/>
            <w:shd w:fill="F2F4F7"/>
          </w:tcPr>
          <w:p>
            <w:pPr>
              <w:spacing w:after="0"/>
            </w:pPr>
            <w:r>
              <w:rPr>
                <w:rFonts w:ascii="Calibri" w:hAnsi="Calibri"/>
                <w:b/>
                <w:i w:val="0"/>
                <w:color w:val="233142"/>
                <w:sz w:val="19"/>
              </w:rPr>
              <w:t>Actions</w:t>
            </w:r>
          </w:p>
        </w:tc>
        <w:tc>
          <w:tcPr>
            <w:tcW w:type="dxa" w:w="3160"/>
            <w:tcMar>
              <w:top w:w="90" w:type="dxa"/>
              <w:start w:w="120" w:type="dxa"/>
              <w:bottom w:w="90" w:type="dxa"/>
              <w:end w:w="120" w:type="dxa"/>
            </w:tcMar>
            <w:vAlign w:val="center"/>
            <w:shd w:fill="F2F4F7"/>
          </w:tcPr>
          <w:p>
            <w:pPr>
              <w:spacing w:after="0"/>
            </w:pPr>
            <w:r>
              <w:rPr>
                <w:rFonts w:ascii="Calibri" w:hAnsi="Calibri"/>
                <w:b/>
                <w:i w:val="0"/>
                <w:color w:val="233142"/>
                <w:sz w:val="19"/>
              </w:rPr>
              <w:t>Evidence of progress</w:t>
            </w:r>
          </w:p>
        </w:tc>
      </w:tr>
      <w:tr>
        <w:tc>
          <w:tcPr>
            <w:tcW w:type="dxa" w:w="1500"/>
          </w:tcPr>
          <w:p>
            <w:pPr>
              <w:spacing w:after="0" w:line="252" w:lineRule="auto"/>
            </w:pPr>
            <w:r>
              <w:rPr>
                <w:rFonts w:ascii="Calibri" w:hAnsi="Calibri"/>
                <w:b w:val="0"/>
                <w:i w:val="0"/>
                <w:color w:val="233142"/>
                <w:sz w:val="19"/>
              </w:rPr>
              <w:t>0–30 days</w:t>
            </w:r>
          </w:p>
        </w:tc>
        <w:tc>
          <w:tcPr>
            <w:tcW w:type="dxa" w:w="4700"/>
          </w:tcPr>
          <w:p>
            <w:pPr>
              <w:spacing w:after="0" w:line="252" w:lineRule="auto"/>
            </w:pPr>
            <w:r>
              <w:rPr>
                <w:rFonts w:ascii="Calibri" w:hAnsi="Calibri"/>
                <w:b w:val="0"/>
                <w:i w:val="0"/>
                <w:color w:val="233142"/>
                <w:sz w:val="19"/>
              </w:rPr>
              <w:t>Run the content pack; add pickup offer; verify priority contact paths; establish metrics baseline.</w:t>
            </w:r>
          </w:p>
        </w:tc>
        <w:tc>
          <w:tcPr>
            <w:tcW w:type="dxa" w:w="3160"/>
          </w:tcPr>
          <w:p>
            <w:pPr>
              <w:spacing w:after="0" w:line="252" w:lineRule="auto"/>
            </w:pPr>
            <w:r>
              <w:rPr>
                <w:rFonts w:ascii="Calibri" w:hAnsi="Calibri"/>
                <w:b w:val="0"/>
                <w:i w:val="0"/>
                <w:color w:val="233142"/>
                <w:sz w:val="19"/>
              </w:rPr>
              <w:t>Published items, response log, coupon rule, verified contact list, baseline entered.</w:t>
            </w:r>
          </w:p>
        </w:tc>
      </w:tr>
      <w:tr>
        <w:tc>
          <w:tcPr>
            <w:tcW w:type="dxa" w:w="1500"/>
          </w:tcPr>
          <w:p>
            <w:pPr>
              <w:spacing w:after="0" w:line="252" w:lineRule="auto"/>
            </w:pPr>
            <w:r>
              <w:rPr>
                <w:rFonts w:ascii="Calibri" w:hAnsi="Calibri"/>
                <w:b w:val="0"/>
                <w:i w:val="0"/>
                <w:color w:val="233142"/>
                <w:sz w:val="19"/>
              </w:rPr>
              <w:t>31–60 days</w:t>
            </w:r>
          </w:p>
        </w:tc>
        <w:tc>
          <w:tcPr>
            <w:tcW w:type="dxa" w:w="4700"/>
          </w:tcPr>
          <w:p>
            <w:pPr>
              <w:spacing w:after="0" w:line="252" w:lineRule="auto"/>
            </w:pPr>
            <w:r>
              <w:rPr>
                <w:rFonts w:ascii="Calibri" w:hAnsi="Calibri"/>
                <w:b w:val="0"/>
                <w:i w:val="0"/>
                <w:color w:val="233142"/>
                <w:sz w:val="19"/>
              </w:rPr>
              <w:t>Review content results; run one partner or regional offer; decide whether a micro-batch feasibility test is worth scoping.</w:t>
            </w:r>
          </w:p>
        </w:tc>
        <w:tc>
          <w:tcPr>
            <w:tcW w:type="dxa" w:w="3160"/>
          </w:tcPr>
          <w:p>
            <w:pPr>
              <w:spacing w:after="0" w:line="252" w:lineRule="auto"/>
            </w:pPr>
            <w:r>
              <w:rPr>
                <w:rFonts w:ascii="Calibri" w:hAnsi="Calibri"/>
                <w:b w:val="0"/>
                <w:i w:val="0"/>
                <w:color w:val="233142"/>
                <w:sz w:val="19"/>
              </w:rPr>
              <w:t>Experiment readout, partner response, labor/cost estimate, explicit decision entry.</w:t>
            </w:r>
          </w:p>
        </w:tc>
      </w:tr>
      <w:tr>
        <w:tc>
          <w:tcPr>
            <w:tcW w:type="dxa" w:w="1500"/>
          </w:tcPr>
          <w:p>
            <w:pPr>
              <w:spacing w:after="0" w:line="252" w:lineRule="auto"/>
            </w:pPr>
            <w:r>
              <w:rPr>
                <w:rFonts w:ascii="Calibri" w:hAnsi="Calibri"/>
                <w:b w:val="0"/>
                <w:i w:val="0"/>
                <w:color w:val="233142"/>
                <w:sz w:val="19"/>
              </w:rPr>
              <w:t>61–90 days</w:t>
            </w:r>
          </w:p>
        </w:tc>
        <w:tc>
          <w:tcPr>
            <w:tcW w:type="dxa" w:w="4700"/>
          </w:tcPr>
          <w:p>
            <w:pPr>
              <w:spacing w:after="0" w:line="252" w:lineRule="auto"/>
            </w:pPr>
            <w:r>
              <w:rPr>
                <w:rFonts w:ascii="Calibri" w:hAnsi="Calibri"/>
                <w:b w:val="0"/>
                <w:i w:val="0"/>
                <w:color w:val="233142"/>
                <w:sz w:val="19"/>
              </w:rPr>
              <w:t>Run only the approved next experiment; verify supplier or slip claims directly; update the workbook and HQ.</w:t>
            </w:r>
          </w:p>
        </w:tc>
        <w:tc>
          <w:tcPr>
            <w:tcW w:type="dxa" w:w="3160"/>
          </w:tcPr>
          <w:p>
            <w:pPr>
              <w:spacing w:after="0" w:line="252" w:lineRule="auto"/>
            </w:pPr>
            <w:r>
              <w:rPr>
                <w:rFonts w:ascii="Calibri" w:hAnsi="Calibri"/>
                <w:b w:val="0"/>
                <w:i w:val="0"/>
                <w:color w:val="233142"/>
                <w:sz w:val="19"/>
              </w:rPr>
              <w:t>Owner, result, margin or conversion signal, and a documented keep/change/stop decision.</w:t>
            </w:r>
          </w:p>
        </w:tc>
      </w:tr>
    </w:tbl>
    <w:p>
      <w:pPr>
        <w:spacing w:before="0" w:after="40" w:line="264" w:lineRule="auto"/>
      </w:pPr>
    </w:p>
    <w:p>
      <w:pPr>
        <w:pStyle w:val="Heading1"/>
        <w:keepNext/>
      </w:pPr>
      <w:r>
        <w:rPr>
          <w:rFonts w:ascii="Calibri" w:hAnsi="Calibri"/>
          <w:b/>
          <w:i w:val="0"/>
          <w:color w:val="2E74B5"/>
          <w:sz w:val="32"/>
        </w:rPr>
        <w:t>Measurement plan</w:t>
      </w:r>
    </w:p>
    <w:p>
      <w:pPr>
        <w:spacing w:before="0" w:after="120" w:line="264" w:lineRule="auto"/>
      </w:pPr>
      <w:r>
        <w:rPr>
          <w:rFonts w:ascii="Calibri" w:hAnsi="Calibri"/>
          <w:b w:val="0"/>
          <w:i w:val="0"/>
          <w:color w:val="233142"/>
          <w:sz w:val="22"/>
        </w:rPr>
        <w:t>The supplied six-month tracker provides a useful skeleton, but the decision system should remain grounded in actions Fired Arts controls. Use the following measures consistently and define the denominator before comparing periods.</w:t>
      </w:r>
    </w:p>
    <w:tbl>
      <w:tblPr>
        <w:tblW w:type="dxa" w:w="9360"/>
        <w:jc w:val="left"/>
        <w:tblLayout w:type="fixed"/>
        <w:tblLook w:firstColumn="1" w:firstRow="1" w:lastColumn="0" w:lastRow="0" w:noHBand="0" w:noVBand="1" w:val="04A0"/>
        <w:tblInd w:w="120" w:type="dxa"/>
      </w:tblPr>
      <w:tblGrid>
        <w:gridCol w:w="1500"/>
        <w:gridCol w:w="2500"/>
        <w:gridCol w:w="3400"/>
        <w:gridCol w:w="1960"/>
      </w:tblGrid>
      <w:tr>
        <w:tc>
          <w:tcPr>
            <w:tcW w:type="dxa" w:w="1500"/>
            <w:tcMar>
              <w:top w:w="90" w:type="dxa"/>
              <w:start w:w="120" w:type="dxa"/>
              <w:bottom w:w="90" w:type="dxa"/>
              <w:end w:w="120" w:type="dxa"/>
            </w:tcMar>
            <w:vAlign w:val="center"/>
            <w:shd w:fill="F2F4F7"/>
          </w:tcPr>
          <w:p>
            <w:pPr>
              <w:spacing w:after="0"/>
            </w:pPr>
            <w:r>
              <w:rPr>
                <w:rFonts w:ascii="Calibri" w:hAnsi="Calibri"/>
                <w:b/>
                <w:i w:val="0"/>
                <w:color w:val="233142"/>
                <w:sz w:val="19"/>
              </w:rPr>
              <w:t>Area</w:t>
            </w:r>
          </w:p>
        </w:tc>
        <w:tc>
          <w:tcPr>
            <w:tcW w:type="dxa" w:w="2500"/>
            <w:tcMar>
              <w:top w:w="90" w:type="dxa"/>
              <w:start w:w="120" w:type="dxa"/>
              <w:bottom w:w="90" w:type="dxa"/>
              <w:end w:w="120" w:type="dxa"/>
            </w:tcMar>
            <w:vAlign w:val="center"/>
            <w:shd w:fill="F2F4F7"/>
          </w:tcPr>
          <w:p>
            <w:pPr>
              <w:spacing w:after="0"/>
            </w:pPr>
            <w:r>
              <w:rPr>
                <w:rFonts w:ascii="Calibri" w:hAnsi="Calibri"/>
                <w:b/>
                <w:i w:val="0"/>
                <w:color w:val="233142"/>
                <w:sz w:val="19"/>
              </w:rPr>
              <w:t>Measure</w:t>
            </w:r>
          </w:p>
        </w:tc>
        <w:tc>
          <w:tcPr>
            <w:tcW w:type="dxa" w:w="3400"/>
            <w:tcMar>
              <w:top w:w="90" w:type="dxa"/>
              <w:start w:w="120" w:type="dxa"/>
              <w:bottom w:w="90" w:type="dxa"/>
              <w:end w:w="120" w:type="dxa"/>
            </w:tcMar>
            <w:vAlign w:val="center"/>
            <w:shd w:fill="F2F4F7"/>
          </w:tcPr>
          <w:p>
            <w:pPr>
              <w:spacing w:after="0"/>
            </w:pPr>
            <w:r>
              <w:rPr>
                <w:rFonts w:ascii="Calibri" w:hAnsi="Calibri"/>
                <w:b/>
                <w:i w:val="0"/>
                <w:color w:val="233142"/>
                <w:sz w:val="19"/>
              </w:rPr>
              <w:t>Starting value / state</w:t>
            </w:r>
          </w:p>
        </w:tc>
        <w:tc>
          <w:tcPr>
            <w:tcW w:type="dxa" w:w="1960"/>
            <w:tcMar>
              <w:top w:w="90" w:type="dxa"/>
              <w:start w:w="120" w:type="dxa"/>
              <w:bottom w:w="90" w:type="dxa"/>
              <w:end w:w="120" w:type="dxa"/>
            </w:tcMar>
            <w:vAlign w:val="center"/>
            <w:shd w:fill="F2F4F7"/>
          </w:tcPr>
          <w:p>
            <w:pPr>
              <w:spacing w:after="0"/>
            </w:pPr>
            <w:r>
              <w:rPr>
                <w:rFonts w:ascii="Calibri" w:hAnsi="Calibri"/>
                <w:b/>
                <w:i w:val="0"/>
                <w:color w:val="233142"/>
                <w:sz w:val="19"/>
              </w:rPr>
              <w:t>Next update</w:t>
            </w:r>
          </w:p>
        </w:tc>
      </w:tr>
      <w:tr>
        <w:tc>
          <w:tcPr>
            <w:tcW w:type="dxa" w:w="1500"/>
          </w:tcPr>
          <w:p>
            <w:pPr>
              <w:spacing w:after="0" w:line="252" w:lineRule="auto"/>
            </w:pPr>
            <w:r>
              <w:rPr>
                <w:rFonts w:ascii="Calibri" w:hAnsi="Calibri"/>
                <w:b w:val="0"/>
                <w:i w:val="0"/>
                <w:color w:val="233142"/>
                <w:sz w:val="19"/>
              </w:rPr>
              <w:t>Audience</w:t>
            </w:r>
          </w:p>
        </w:tc>
        <w:tc>
          <w:tcPr>
            <w:tcW w:type="dxa" w:w="2500"/>
          </w:tcPr>
          <w:p>
            <w:pPr>
              <w:spacing w:after="0" w:line="252" w:lineRule="auto"/>
            </w:pPr>
            <w:r>
              <w:rPr>
                <w:rFonts w:ascii="Calibri" w:hAnsi="Calibri"/>
                <w:b w:val="0"/>
                <w:i w:val="0"/>
                <w:color w:val="233142"/>
                <w:sz w:val="19"/>
              </w:rPr>
              <w:t>Instagram followers</w:t>
            </w:r>
          </w:p>
        </w:tc>
        <w:tc>
          <w:tcPr>
            <w:tcW w:type="dxa" w:w="3400"/>
          </w:tcPr>
          <w:p>
            <w:pPr>
              <w:spacing w:after="0" w:line="252" w:lineRule="auto"/>
            </w:pPr>
            <w:r>
              <w:rPr>
                <w:rFonts w:ascii="Calibri" w:hAnsi="Calibri"/>
                <w:b w:val="0"/>
                <w:i w:val="0"/>
                <w:color w:val="233142"/>
                <w:sz w:val="19"/>
              </w:rPr>
              <w:t>526 observed in supplied benchmark.</w:t>
            </w:r>
          </w:p>
        </w:tc>
        <w:tc>
          <w:tcPr>
            <w:tcW w:type="dxa" w:w="1960"/>
          </w:tcPr>
          <w:p>
            <w:pPr>
              <w:spacing w:after="0" w:line="252" w:lineRule="auto"/>
            </w:pPr>
            <w:r>
              <w:rPr>
                <w:rFonts w:ascii="Calibri" w:hAnsi="Calibri"/>
                <w:b w:val="0"/>
                <w:i w:val="0"/>
                <w:color w:val="233142"/>
                <w:sz w:val="19"/>
              </w:rPr>
              <w:t>Monthly.</w:t>
            </w:r>
          </w:p>
        </w:tc>
      </w:tr>
      <w:tr>
        <w:tc>
          <w:tcPr>
            <w:tcW w:type="dxa" w:w="1500"/>
          </w:tcPr>
          <w:p>
            <w:pPr>
              <w:spacing w:after="0" w:line="252" w:lineRule="auto"/>
            </w:pPr>
            <w:r>
              <w:rPr>
                <w:rFonts w:ascii="Calibri" w:hAnsi="Calibri"/>
                <w:b w:val="0"/>
                <w:i w:val="0"/>
                <w:color w:val="233142"/>
                <w:sz w:val="19"/>
              </w:rPr>
              <w:t>Engagement</w:t>
            </w:r>
          </w:p>
        </w:tc>
        <w:tc>
          <w:tcPr>
            <w:tcW w:type="dxa" w:w="2500"/>
          </w:tcPr>
          <w:p>
            <w:pPr>
              <w:spacing w:after="0" w:line="252" w:lineRule="auto"/>
            </w:pPr>
            <w:r>
              <w:rPr>
                <w:rFonts w:ascii="Calibri" w:hAnsi="Calibri"/>
                <w:b w:val="0"/>
                <w:i w:val="0"/>
                <w:color w:val="233142"/>
                <w:sz w:val="19"/>
              </w:rPr>
              <w:t>Average likes / comments</w:t>
            </w:r>
          </w:p>
        </w:tc>
        <w:tc>
          <w:tcPr>
            <w:tcW w:type="dxa" w:w="3400"/>
          </w:tcPr>
          <w:p>
            <w:pPr>
              <w:spacing w:after="0" w:line="252" w:lineRule="auto"/>
            </w:pPr>
            <w:r>
              <w:rPr>
                <w:rFonts w:ascii="Calibri" w:hAnsi="Calibri"/>
                <w:b w:val="0"/>
                <w:i w:val="0"/>
                <w:color w:val="233142"/>
                <w:sz w:val="19"/>
              </w:rPr>
              <w:t>3.4 likes and 0.8 comments observed.</w:t>
            </w:r>
          </w:p>
        </w:tc>
        <w:tc>
          <w:tcPr>
            <w:tcW w:type="dxa" w:w="1960"/>
          </w:tcPr>
          <w:p>
            <w:pPr>
              <w:spacing w:after="0" w:line="252" w:lineRule="auto"/>
            </w:pPr>
            <w:r>
              <w:rPr>
                <w:rFonts w:ascii="Calibri" w:hAnsi="Calibri"/>
                <w:b w:val="0"/>
                <w:i w:val="0"/>
                <w:color w:val="233142"/>
                <w:sz w:val="19"/>
              </w:rPr>
              <w:t>By content run and monthly.</w:t>
            </w:r>
          </w:p>
        </w:tc>
      </w:tr>
      <w:tr>
        <w:tc>
          <w:tcPr>
            <w:tcW w:type="dxa" w:w="1500"/>
          </w:tcPr>
          <w:p>
            <w:pPr>
              <w:spacing w:after="0" w:line="252" w:lineRule="auto"/>
            </w:pPr>
            <w:r>
              <w:rPr>
                <w:rFonts w:ascii="Calibri" w:hAnsi="Calibri"/>
                <w:b w:val="0"/>
                <w:i w:val="0"/>
                <w:color w:val="233142"/>
                <w:sz w:val="19"/>
              </w:rPr>
              <w:t>Execution</w:t>
            </w:r>
          </w:p>
        </w:tc>
        <w:tc>
          <w:tcPr>
            <w:tcW w:type="dxa" w:w="2500"/>
          </w:tcPr>
          <w:p>
            <w:pPr>
              <w:spacing w:after="0" w:line="252" w:lineRule="auto"/>
            </w:pPr>
            <w:r>
              <w:rPr>
                <w:rFonts w:ascii="Calibri" w:hAnsi="Calibri"/>
                <w:b w:val="0"/>
                <w:i w:val="0"/>
                <w:color w:val="233142"/>
                <w:sz w:val="19"/>
              </w:rPr>
              <w:t>Feed, Story, and reshare items ready</w:t>
            </w:r>
          </w:p>
        </w:tc>
        <w:tc>
          <w:tcPr>
            <w:tcW w:type="dxa" w:w="3400"/>
          </w:tcPr>
          <w:p>
            <w:pPr>
              <w:spacing w:after="0" w:line="252" w:lineRule="auto"/>
            </w:pPr>
            <w:r>
              <w:rPr>
                <w:rFonts w:ascii="Calibri" w:hAnsi="Calibri"/>
                <w:b w:val="0"/>
                <w:i w:val="0"/>
                <w:color w:val="233142"/>
                <w:sz w:val="19"/>
              </w:rPr>
              <w:t>7 feed, 7 Story, 5 reshare items.</w:t>
            </w:r>
          </w:p>
        </w:tc>
        <w:tc>
          <w:tcPr>
            <w:tcW w:type="dxa" w:w="1960"/>
          </w:tcPr>
          <w:p>
            <w:pPr>
              <w:spacing w:after="0" w:line="252" w:lineRule="auto"/>
            </w:pPr>
            <w:r>
              <w:rPr>
                <w:rFonts w:ascii="Calibri" w:hAnsi="Calibri"/>
                <w:b w:val="0"/>
                <w:i w:val="0"/>
                <w:color w:val="233142"/>
                <w:sz w:val="19"/>
              </w:rPr>
              <w:t>After each scheduled run.</w:t>
            </w:r>
          </w:p>
        </w:tc>
      </w:tr>
      <w:tr>
        <w:tc>
          <w:tcPr>
            <w:tcW w:type="dxa" w:w="1500"/>
          </w:tcPr>
          <w:p>
            <w:pPr>
              <w:spacing w:after="0" w:line="252" w:lineRule="auto"/>
            </w:pPr>
            <w:r>
              <w:rPr>
                <w:rFonts w:ascii="Calibri" w:hAnsi="Calibri"/>
                <w:b w:val="0"/>
                <w:i w:val="0"/>
                <w:color w:val="233142"/>
                <w:sz w:val="19"/>
              </w:rPr>
              <w:t>Retention</w:t>
            </w:r>
          </w:p>
        </w:tc>
        <w:tc>
          <w:tcPr>
            <w:tcW w:type="dxa" w:w="2500"/>
          </w:tcPr>
          <w:p>
            <w:pPr>
              <w:spacing w:after="0" w:line="252" w:lineRule="auto"/>
            </w:pPr>
            <w:r>
              <w:rPr>
                <w:rFonts w:ascii="Calibri" w:hAnsi="Calibri"/>
                <w:b w:val="0"/>
                <w:i w:val="0"/>
                <w:color w:val="233142"/>
                <w:sz w:val="19"/>
              </w:rPr>
              <w:t>Pickup coupon redemptions</w:t>
            </w:r>
          </w:p>
        </w:tc>
        <w:tc>
          <w:tcPr>
            <w:tcW w:type="dxa" w:w="3400"/>
          </w:tcPr>
          <w:p>
            <w:pPr>
              <w:spacing w:after="0" w:line="252" w:lineRule="auto"/>
            </w:pPr>
            <w:r>
              <w:rPr>
                <w:rFonts w:ascii="Calibri" w:hAnsi="Calibri"/>
                <w:b w:val="0"/>
                <w:i w:val="0"/>
                <w:color w:val="233142"/>
                <w:sz w:val="19"/>
              </w:rPr>
              <w:t>Not yet established.</w:t>
            </w:r>
          </w:p>
        </w:tc>
        <w:tc>
          <w:tcPr>
            <w:tcW w:type="dxa" w:w="1960"/>
          </w:tcPr>
          <w:p>
            <w:pPr>
              <w:spacing w:after="0" w:line="252" w:lineRule="auto"/>
            </w:pPr>
            <w:r>
              <w:rPr>
                <w:rFonts w:ascii="Calibri" w:hAnsi="Calibri"/>
                <w:b w:val="0"/>
                <w:i w:val="0"/>
                <w:color w:val="233142"/>
                <w:sz w:val="19"/>
              </w:rPr>
              <w:t>30-day pilot.</w:t>
            </w:r>
          </w:p>
        </w:tc>
      </w:tr>
      <w:tr>
        <w:tc>
          <w:tcPr>
            <w:tcW w:type="dxa" w:w="1500"/>
          </w:tcPr>
          <w:p>
            <w:pPr>
              <w:spacing w:after="0" w:line="252" w:lineRule="auto"/>
            </w:pPr>
            <w:r>
              <w:rPr>
                <w:rFonts w:ascii="Calibri" w:hAnsi="Calibri"/>
                <w:b w:val="0"/>
                <w:i w:val="0"/>
                <w:color w:val="233142"/>
                <w:sz w:val="19"/>
              </w:rPr>
              <w:t>Partnerships</w:t>
            </w:r>
          </w:p>
        </w:tc>
        <w:tc>
          <w:tcPr>
            <w:tcW w:type="dxa" w:w="2500"/>
          </w:tcPr>
          <w:p>
            <w:pPr>
              <w:spacing w:after="0" w:line="252" w:lineRule="auto"/>
            </w:pPr>
            <w:r>
              <w:rPr>
                <w:rFonts w:ascii="Calibri" w:hAnsi="Calibri"/>
                <w:b w:val="0"/>
                <w:i w:val="0"/>
                <w:color w:val="233142"/>
                <w:sz w:val="19"/>
              </w:rPr>
              <w:t>Replies, meetings, and referred visits</w:t>
            </w:r>
          </w:p>
        </w:tc>
        <w:tc>
          <w:tcPr>
            <w:tcW w:type="dxa" w:w="3400"/>
          </w:tcPr>
          <w:p>
            <w:pPr>
              <w:spacing w:after="0" w:line="252" w:lineRule="auto"/>
            </w:pPr>
            <w:r>
              <w:rPr>
                <w:rFonts w:ascii="Calibri" w:hAnsi="Calibri"/>
                <w:b w:val="0"/>
                <w:i w:val="0"/>
                <w:color w:val="233142"/>
                <w:sz w:val="19"/>
              </w:rPr>
              <w:t>Not yet established.</w:t>
            </w:r>
          </w:p>
        </w:tc>
        <w:tc>
          <w:tcPr>
            <w:tcW w:type="dxa" w:w="1960"/>
          </w:tcPr>
          <w:p>
            <w:pPr>
              <w:spacing w:after="0" w:line="252" w:lineRule="auto"/>
            </w:pPr>
            <w:r>
              <w:rPr>
                <w:rFonts w:ascii="Calibri" w:hAnsi="Calibri"/>
                <w:b w:val="0"/>
                <w:i w:val="0"/>
                <w:color w:val="233142"/>
                <w:sz w:val="19"/>
              </w:rPr>
              <w:t>Per outreach campaign.</w:t>
            </w:r>
          </w:p>
        </w:tc>
      </w:tr>
      <w:tr>
        <w:tc>
          <w:tcPr>
            <w:tcW w:type="dxa" w:w="1500"/>
          </w:tcPr>
          <w:p>
            <w:pPr>
              <w:spacing w:after="0" w:line="252" w:lineRule="auto"/>
            </w:pPr>
            <w:r>
              <w:rPr>
                <w:rFonts w:ascii="Calibri" w:hAnsi="Calibri"/>
                <w:b w:val="0"/>
                <w:i w:val="0"/>
                <w:color w:val="233142"/>
                <w:sz w:val="19"/>
              </w:rPr>
              <w:t>Operations</w:t>
            </w:r>
          </w:p>
        </w:tc>
        <w:tc>
          <w:tcPr>
            <w:tcW w:type="dxa" w:w="2500"/>
          </w:tcPr>
          <w:p>
            <w:pPr>
              <w:spacing w:after="0" w:line="252" w:lineRule="auto"/>
            </w:pPr>
            <w:r>
              <w:rPr>
                <w:rFonts w:ascii="Calibri" w:hAnsi="Calibri"/>
                <w:b w:val="0"/>
                <w:i w:val="0"/>
                <w:color w:val="233142"/>
                <w:sz w:val="19"/>
              </w:rPr>
              <w:t>Labor, material, firing, and margin for any custom test</w:t>
            </w:r>
          </w:p>
        </w:tc>
        <w:tc>
          <w:tcPr>
            <w:tcW w:type="dxa" w:w="3400"/>
          </w:tcPr>
          <w:p>
            <w:pPr>
              <w:spacing w:after="0" w:line="252" w:lineRule="auto"/>
            </w:pPr>
            <w:r>
              <w:rPr>
                <w:rFonts w:ascii="Calibri" w:hAnsi="Calibri"/>
                <w:b w:val="0"/>
                <w:i w:val="0"/>
                <w:color w:val="233142"/>
                <w:sz w:val="19"/>
              </w:rPr>
              <w:t>Not yet established.</w:t>
            </w:r>
          </w:p>
        </w:tc>
        <w:tc>
          <w:tcPr>
            <w:tcW w:type="dxa" w:w="1960"/>
          </w:tcPr>
          <w:p>
            <w:pPr>
              <w:spacing w:after="0" w:line="252" w:lineRule="auto"/>
            </w:pPr>
            <w:r>
              <w:rPr>
                <w:rFonts w:ascii="Calibri" w:hAnsi="Calibri"/>
                <w:b w:val="0"/>
                <w:i w:val="0"/>
                <w:color w:val="233142"/>
                <w:sz w:val="19"/>
              </w:rPr>
              <w:t>Before any production approval.</w:t>
            </w:r>
          </w:p>
        </w:tc>
      </w:tr>
    </w:tbl>
    <w:p>
      <w:pPr>
        <w:spacing w:before="0" w:after="40" w:line="264" w:lineRule="auto"/>
      </w:pPr>
    </w:p>
    <w:p>
      <w:pPr>
        <w:pStyle w:val="Heading1"/>
        <w:keepNext/>
      </w:pPr>
      <w:r>
        <w:rPr>
          <w:rFonts w:ascii="Calibri" w:hAnsi="Calibri"/>
          <w:b/>
          <w:i w:val="0"/>
          <w:color w:val="2E74B5"/>
          <w:sz w:val="32"/>
        </w:rPr>
        <w:t>Decision rules</w:t>
      </w:r>
    </w:p>
    <w:p>
      <w:pPr>
        <w:pStyle w:val="ListBullet"/>
        <w:spacing w:after="100" w:line="264" w:lineRule="auto"/>
      </w:pPr>
      <w:r>
        <w:rPr>
          <w:rFonts w:ascii="Calibri" w:hAnsi="Calibri"/>
          <w:b w:val="0"/>
          <w:i w:val="0"/>
          <w:color w:val="233142"/>
          <w:sz w:val="22"/>
        </w:rPr>
        <w:t>A source-only observation can inspire a test, but cannot be presented as a causal finding.</w:t>
      </w:r>
    </w:p>
    <w:p>
      <w:pPr>
        <w:pStyle w:val="ListBullet"/>
        <w:spacing w:after="100" w:line="264" w:lineRule="auto"/>
      </w:pPr>
      <w:r>
        <w:rPr>
          <w:rFonts w:ascii="Calibri" w:hAnsi="Calibri"/>
          <w:b w:val="0"/>
          <w:i w:val="0"/>
          <w:color w:val="233142"/>
          <w:sz w:val="22"/>
        </w:rPr>
        <w:t>An AI-agent transcript can suggest a lead, but cannot approve a supplier, process, product, or safety procedure.</w:t>
      </w:r>
    </w:p>
    <w:p>
      <w:pPr>
        <w:pStyle w:val="ListBullet"/>
        <w:spacing w:after="100" w:line="264" w:lineRule="auto"/>
      </w:pPr>
      <w:r>
        <w:rPr>
          <w:rFonts w:ascii="Calibri" w:hAnsi="Calibri"/>
          <w:b w:val="0"/>
          <w:i w:val="0"/>
          <w:color w:val="233142"/>
          <w:sz w:val="22"/>
        </w:rPr>
        <w:t>A technical experiment must have an owner, scope, safety boundary, cost/labor estimate, success signal, and stop condition.</w:t>
      </w:r>
    </w:p>
    <w:p>
      <w:pPr>
        <w:pStyle w:val="ListBullet"/>
        <w:spacing w:after="100" w:line="264" w:lineRule="auto"/>
      </w:pPr>
      <w:r>
        <w:rPr>
          <w:rFonts w:ascii="Calibri" w:hAnsi="Calibri"/>
          <w:b w:val="0"/>
          <w:i w:val="0"/>
          <w:color w:val="233142"/>
          <w:sz w:val="22"/>
        </w:rPr>
        <w:t>A result is not complete until it is logged in the Metrics or Decisions layer.</w:t>
      </w:r>
    </w:p>
    <w:p>
      <w:r>
        <w:br w:type="page"/>
      </w:r>
    </w:p>
    <w:p>
      <w:pPr>
        <w:pStyle w:val="Heading1"/>
        <w:keepNext/>
      </w:pPr>
      <w:r>
        <w:rPr>
          <w:rFonts w:ascii="Calibri" w:hAnsi="Calibri"/>
          <w:b/>
          <w:i w:val="0"/>
          <w:color w:val="2E74B5"/>
          <w:sz w:val="32"/>
        </w:rPr>
        <w:t>Source and provenance guide</w:t>
      </w:r>
    </w:p>
    <w:p>
      <w:pPr>
        <w:spacing w:before="0" w:after="120" w:line="264" w:lineRule="auto"/>
      </w:pPr>
      <w:r>
        <w:rPr>
          <w:rFonts w:ascii="Calibri" w:hAnsi="Calibri"/>
          <w:b w:val="0"/>
          <w:i w:val="0"/>
          <w:color w:val="233142"/>
          <w:sz w:val="22"/>
        </w:rPr>
        <w:t>The companion workbook contains the complete row-level source register. The table below summarizes how the supplied files are used in this brief.</w:t>
      </w:r>
    </w:p>
    <w:tbl>
      <w:tblPr>
        <w:tblW w:type="dxa" w:w="9360"/>
        <w:jc w:val="left"/>
        <w:tblLayout w:type="fixed"/>
        <w:tblLook w:firstColumn="1" w:firstRow="1" w:lastColumn="0" w:lastRow="0" w:noHBand="0" w:noVBand="1" w:val="04A0"/>
        <w:tblInd w:w="120" w:type="dxa"/>
      </w:tblPr>
      <w:tblGrid>
        <w:gridCol w:w="1750"/>
        <w:gridCol w:w="3850"/>
        <w:gridCol w:w="2600"/>
        <w:gridCol w:w="1160"/>
      </w:tblGrid>
      <w:tr>
        <w:tc>
          <w:tcPr>
            <w:tcW w:type="dxa" w:w="1750"/>
            <w:tcMar>
              <w:top w:w="90" w:type="dxa"/>
              <w:start w:w="120" w:type="dxa"/>
              <w:bottom w:w="90" w:type="dxa"/>
              <w:end w:w="120" w:type="dxa"/>
            </w:tcMar>
            <w:vAlign w:val="center"/>
            <w:shd w:fill="F2F4F7"/>
          </w:tcPr>
          <w:p>
            <w:pPr>
              <w:spacing w:after="0"/>
            </w:pPr>
            <w:r>
              <w:rPr>
                <w:rFonts w:ascii="Calibri" w:hAnsi="Calibri"/>
                <w:b/>
                <w:i w:val="0"/>
                <w:color w:val="233142"/>
                <w:sz w:val="17"/>
              </w:rPr>
              <w:t>Source group</w:t>
            </w:r>
          </w:p>
        </w:tc>
        <w:tc>
          <w:tcPr>
            <w:tcW w:type="dxa" w:w="3850"/>
            <w:tcMar>
              <w:top w:w="90" w:type="dxa"/>
              <w:start w:w="120" w:type="dxa"/>
              <w:bottom w:w="90" w:type="dxa"/>
              <w:end w:w="120" w:type="dxa"/>
            </w:tcMar>
            <w:vAlign w:val="center"/>
            <w:shd w:fill="F2F4F7"/>
          </w:tcPr>
          <w:p>
            <w:pPr>
              <w:spacing w:after="0"/>
            </w:pPr>
            <w:r>
              <w:rPr>
                <w:rFonts w:ascii="Calibri" w:hAnsi="Calibri"/>
                <w:b/>
                <w:i w:val="0"/>
                <w:color w:val="233142"/>
                <w:sz w:val="17"/>
              </w:rPr>
              <w:t>Files</w:t>
            </w:r>
          </w:p>
        </w:tc>
        <w:tc>
          <w:tcPr>
            <w:tcW w:type="dxa" w:w="2600"/>
            <w:tcMar>
              <w:top w:w="90" w:type="dxa"/>
              <w:start w:w="120" w:type="dxa"/>
              <w:bottom w:w="90" w:type="dxa"/>
              <w:end w:w="120" w:type="dxa"/>
            </w:tcMar>
            <w:vAlign w:val="center"/>
            <w:shd w:fill="F2F4F7"/>
          </w:tcPr>
          <w:p>
            <w:pPr>
              <w:spacing w:after="0"/>
            </w:pPr>
            <w:r>
              <w:rPr>
                <w:rFonts w:ascii="Calibri" w:hAnsi="Calibri"/>
                <w:b/>
                <w:i w:val="0"/>
                <w:color w:val="233142"/>
                <w:sz w:val="17"/>
              </w:rPr>
              <w:t>Use here</w:t>
            </w:r>
          </w:p>
        </w:tc>
        <w:tc>
          <w:tcPr>
            <w:tcW w:type="dxa" w:w="1160"/>
            <w:tcMar>
              <w:top w:w="90" w:type="dxa"/>
              <w:start w:w="120" w:type="dxa"/>
              <w:bottom w:w="90" w:type="dxa"/>
              <w:end w:w="120" w:type="dxa"/>
            </w:tcMar>
            <w:vAlign w:val="center"/>
            <w:shd w:fill="F2F4F7"/>
          </w:tcPr>
          <w:p>
            <w:pPr>
              <w:spacing w:after="0"/>
            </w:pPr>
            <w:r>
              <w:rPr>
                <w:rFonts w:ascii="Calibri" w:hAnsi="Calibri"/>
                <w:b/>
                <w:i w:val="0"/>
                <w:color w:val="233142"/>
                <w:sz w:val="17"/>
              </w:rPr>
              <w:t>Status</w:t>
            </w:r>
          </w:p>
        </w:tc>
      </w:tr>
      <w:tr>
        <w:tc>
          <w:tcPr>
            <w:tcW w:type="dxa" w:w="1750"/>
          </w:tcPr>
          <w:p>
            <w:pPr>
              <w:spacing w:after="0" w:line="252" w:lineRule="auto"/>
            </w:pPr>
            <w:r>
              <w:rPr>
                <w:rFonts w:ascii="Calibri" w:hAnsi="Calibri"/>
                <w:b w:val="0"/>
                <w:i w:val="0"/>
                <w:color w:val="233142"/>
                <w:sz w:val="17"/>
              </w:rPr>
              <w:t>Competitor benchmarks</w:t>
            </w:r>
          </w:p>
        </w:tc>
        <w:tc>
          <w:tcPr>
            <w:tcW w:type="dxa" w:w="3850"/>
          </w:tcPr>
          <w:p>
            <w:pPr>
              <w:spacing w:after="0" w:line="252" w:lineRule="auto"/>
            </w:pPr>
            <w:r>
              <w:rPr>
                <w:rFonts w:ascii="Calibri" w:hAnsi="Calibri"/>
                <w:b w:val="0"/>
                <w:i w:val="0"/>
                <w:color w:val="233142"/>
                <w:sz w:val="17"/>
              </w:rPr>
              <w:t>7way_pricing_comparison.csv; 7way_social_metrics.csv; 7way_top_posts.csv</w:t>
            </w:r>
          </w:p>
        </w:tc>
        <w:tc>
          <w:tcPr>
            <w:tcW w:type="dxa" w:w="2600"/>
          </w:tcPr>
          <w:p>
            <w:pPr>
              <w:spacing w:after="0" w:line="252" w:lineRule="auto"/>
            </w:pPr>
            <w:r>
              <w:rPr>
                <w:rFonts w:ascii="Calibri" w:hAnsi="Calibri"/>
                <w:b w:val="0"/>
                <w:i w:val="0"/>
                <w:color w:val="233142"/>
                <w:sz w:val="17"/>
              </w:rPr>
              <w:t>Pricing, social, and creative test prompts.</w:t>
            </w:r>
          </w:p>
        </w:tc>
        <w:tc>
          <w:tcPr>
            <w:tcW w:type="dxa" w:w="1160"/>
          </w:tcPr>
          <w:p>
            <w:pPr>
              <w:spacing w:after="0" w:line="252" w:lineRule="auto"/>
            </w:pPr>
            <w:r>
              <w:rPr>
                <w:rFonts w:ascii="Calibri" w:hAnsi="Calibri"/>
                <w:b w:val="0"/>
                <w:i w:val="0"/>
                <w:color w:val="233142"/>
                <w:sz w:val="17"/>
              </w:rPr>
              <w:t>Source only</w:t>
            </w:r>
          </w:p>
        </w:tc>
      </w:tr>
      <w:tr>
        <w:tc>
          <w:tcPr>
            <w:tcW w:type="dxa" w:w="1750"/>
          </w:tcPr>
          <w:p>
            <w:pPr>
              <w:spacing w:after="0" w:line="252" w:lineRule="auto"/>
            </w:pPr>
            <w:r>
              <w:rPr>
                <w:rFonts w:ascii="Calibri" w:hAnsi="Calibri"/>
                <w:b w:val="0"/>
                <w:i w:val="0"/>
                <w:color w:val="233142"/>
                <w:sz w:val="17"/>
              </w:rPr>
              <w:t>Content operations</w:t>
            </w:r>
          </w:p>
        </w:tc>
        <w:tc>
          <w:tcPr>
            <w:tcW w:type="dxa" w:w="3850"/>
          </w:tcPr>
          <w:p>
            <w:pPr>
              <w:spacing w:after="0" w:line="252" w:lineRule="auto"/>
            </w:pPr>
            <w:r>
              <w:rPr>
                <w:rFonts w:ascii="Calibri" w:hAnsi="Calibri"/>
                <w:b w:val="0"/>
                <w:i w:val="0"/>
                <w:color w:val="233142"/>
                <w:sz w:val="17"/>
              </w:rPr>
              <w:t>FiredArts_7Day_Content_Calendar.csv/.xlsx; FiredArts_7Day_Stories_Calendar.csv/.xlsx; FiredArts_Complete_7Day_Pack.csv/.xlsx; FiredArts_Reshare_Captions.csv</w:t>
            </w:r>
          </w:p>
        </w:tc>
        <w:tc>
          <w:tcPr>
            <w:tcW w:type="dxa" w:w="2600"/>
          </w:tcPr>
          <w:p>
            <w:pPr>
              <w:spacing w:after="0" w:line="252" w:lineRule="auto"/>
            </w:pPr>
            <w:r>
              <w:rPr>
                <w:rFonts w:ascii="Calibri" w:hAnsi="Calibri"/>
                <w:b w:val="0"/>
                <w:i w:val="0"/>
                <w:color w:val="233142"/>
                <w:sz w:val="17"/>
              </w:rPr>
              <w:t>Ready-to-run content pipeline and follow-up queue.</w:t>
            </w:r>
          </w:p>
        </w:tc>
        <w:tc>
          <w:tcPr>
            <w:tcW w:type="dxa" w:w="1160"/>
          </w:tcPr>
          <w:p>
            <w:pPr>
              <w:spacing w:after="0" w:line="252" w:lineRule="auto"/>
            </w:pPr>
            <w:r>
              <w:rPr>
                <w:rFonts w:ascii="Calibri" w:hAnsi="Calibri"/>
                <w:b w:val="0"/>
                <w:i w:val="0"/>
                <w:color w:val="233142"/>
                <w:sz w:val="17"/>
              </w:rPr>
              <w:t>Ready to use</w:t>
            </w:r>
          </w:p>
        </w:tc>
      </w:tr>
      <w:tr>
        <w:tc>
          <w:tcPr>
            <w:tcW w:type="dxa" w:w="1750"/>
          </w:tcPr>
          <w:p>
            <w:pPr>
              <w:spacing w:after="0" w:line="252" w:lineRule="auto"/>
            </w:pPr>
            <w:r>
              <w:rPr>
                <w:rFonts w:ascii="Calibri" w:hAnsi="Calibri"/>
                <w:b w:val="0"/>
                <w:i w:val="0"/>
                <w:color w:val="233142"/>
                <w:sz w:val="17"/>
              </w:rPr>
              <w:t>Measurement</w:t>
            </w:r>
          </w:p>
        </w:tc>
        <w:tc>
          <w:tcPr>
            <w:tcW w:type="dxa" w:w="3850"/>
          </w:tcPr>
          <w:p>
            <w:pPr>
              <w:spacing w:after="0" w:line="252" w:lineRule="auto"/>
            </w:pPr>
            <w:r>
              <w:rPr>
                <w:rFonts w:ascii="Calibri" w:hAnsi="Calibri"/>
                <w:b w:val="0"/>
                <w:i w:val="0"/>
                <w:color w:val="233142"/>
                <w:sz w:val="17"/>
              </w:rPr>
              <w:t>Fired Arts 6-Month Marketing Metrics Tracker.xlsx</w:t>
            </w:r>
          </w:p>
        </w:tc>
        <w:tc>
          <w:tcPr>
            <w:tcW w:type="dxa" w:w="2600"/>
          </w:tcPr>
          <w:p>
            <w:pPr>
              <w:spacing w:after="0" w:line="252" w:lineRule="auto"/>
            </w:pPr>
            <w:r>
              <w:rPr>
                <w:rFonts w:ascii="Calibri" w:hAnsi="Calibri"/>
                <w:b w:val="0"/>
                <w:i w:val="0"/>
                <w:color w:val="233142"/>
                <w:sz w:val="17"/>
              </w:rPr>
              <w:t>Six-month structure and baseline fields.</w:t>
            </w:r>
          </w:p>
        </w:tc>
        <w:tc>
          <w:tcPr>
            <w:tcW w:type="dxa" w:w="1160"/>
          </w:tcPr>
          <w:p>
            <w:pPr>
              <w:spacing w:after="0" w:line="252" w:lineRule="auto"/>
            </w:pPr>
            <w:r>
              <w:rPr>
                <w:rFonts w:ascii="Calibri" w:hAnsi="Calibri"/>
                <w:b w:val="0"/>
                <w:i w:val="0"/>
                <w:color w:val="233142"/>
                <w:sz w:val="17"/>
              </w:rPr>
              <w:t>Template</w:t>
            </w:r>
          </w:p>
        </w:tc>
      </w:tr>
      <w:tr>
        <w:tc>
          <w:tcPr>
            <w:tcW w:type="dxa" w:w="1750"/>
          </w:tcPr>
          <w:p>
            <w:pPr>
              <w:spacing w:after="0" w:line="252" w:lineRule="auto"/>
            </w:pPr>
            <w:r>
              <w:rPr>
                <w:rFonts w:ascii="Calibri" w:hAnsi="Calibri"/>
                <w:b w:val="0"/>
                <w:i w:val="0"/>
                <w:color w:val="233142"/>
                <w:sz w:val="17"/>
              </w:rPr>
              <w:t>PYOP / process transcript</w:t>
            </w:r>
          </w:p>
        </w:tc>
        <w:tc>
          <w:tcPr>
            <w:tcW w:type="dxa" w:w="3850"/>
          </w:tcPr>
          <w:p>
            <w:pPr>
              <w:spacing w:after="0" w:line="252" w:lineRule="auto"/>
            </w:pPr>
            <w:r>
              <w:rPr>
                <w:rFonts w:ascii="Calibri" w:hAnsi="Calibri"/>
                <w:b w:val="0"/>
                <w:i w:val="0"/>
                <w:color w:val="233142"/>
                <w:sz w:val="17"/>
              </w:rPr>
              <w:t>how are pyop pieces created…; could any of this…3d printing…; Flashforge AD5X…; yes.docx</w:t>
            </w:r>
          </w:p>
        </w:tc>
        <w:tc>
          <w:tcPr>
            <w:tcW w:type="dxa" w:w="2600"/>
          </w:tcPr>
          <w:p>
            <w:pPr>
              <w:spacing w:after="0" w:line="252" w:lineRule="auto"/>
            </w:pPr>
            <w:r>
              <w:rPr>
                <w:rFonts w:ascii="Calibri" w:hAnsi="Calibri"/>
                <w:b w:val="0"/>
                <w:i w:val="0"/>
                <w:color w:val="233142"/>
                <w:sz w:val="17"/>
              </w:rPr>
              <w:t>Technical context and feasibility hypotheses.</w:t>
            </w:r>
          </w:p>
        </w:tc>
        <w:tc>
          <w:tcPr>
            <w:tcW w:type="dxa" w:w="1160"/>
          </w:tcPr>
          <w:p>
            <w:pPr>
              <w:spacing w:after="0" w:line="252" w:lineRule="auto"/>
            </w:pPr>
            <w:r>
              <w:rPr>
                <w:rFonts w:ascii="Calibri" w:hAnsi="Calibri"/>
                <w:b w:val="0"/>
                <w:i w:val="0"/>
                <w:color w:val="233142"/>
                <w:sz w:val="17"/>
              </w:rPr>
              <w:t>Needs verification / draft only</w:t>
            </w:r>
          </w:p>
        </w:tc>
      </w:tr>
      <w:tr>
        <w:tc>
          <w:tcPr>
            <w:tcW w:type="dxa" w:w="1750"/>
          </w:tcPr>
          <w:p>
            <w:pPr>
              <w:spacing w:after="0" w:line="252" w:lineRule="auto"/>
            </w:pPr>
            <w:r>
              <w:rPr>
                <w:rFonts w:ascii="Calibri" w:hAnsi="Calibri"/>
                <w:b w:val="0"/>
                <w:i w:val="0"/>
                <w:color w:val="233142"/>
                <w:sz w:val="17"/>
              </w:rPr>
              <w:t>Supplier / custom transcript</w:t>
            </w:r>
          </w:p>
        </w:tc>
        <w:tc>
          <w:tcPr>
            <w:tcW w:type="dxa" w:w="3850"/>
          </w:tcPr>
          <w:p>
            <w:pPr>
              <w:spacing w:after="0" w:line="252" w:lineRule="auto"/>
            </w:pPr>
            <w:r>
              <w:rPr>
                <w:rFonts w:ascii="Calibri" w:hAnsi="Calibri"/>
                <w:b w:val="0"/>
                <w:i w:val="0"/>
                <w:color w:val="233142"/>
                <w:sz w:val="17"/>
              </w:rPr>
              <w:t>I work for Fired Arts…; would any of them…; yes, can you also estimate…</w:t>
            </w:r>
          </w:p>
        </w:tc>
        <w:tc>
          <w:tcPr>
            <w:tcW w:type="dxa" w:w="2600"/>
          </w:tcPr>
          <w:p>
            <w:pPr>
              <w:spacing w:after="0" w:line="252" w:lineRule="auto"/>
            </w:pPr>
            <w:r>
              <w:rPr>
                <w:rFonts w:ascii="Calibri" w:hAnsi="Calibri"/>
                <w:b w:val="0"/>
                <w:i w:val="0"/>
                <w:color w:val="233142"/>
                <w:sz w:val="17"/>
              </w:rPr>
              <w:t>Supplier, capability, and custom-manufacturing leads.</w:t>
            </w:r>
          </w:p>
        </w:tc>
        <w:tc>
          <w:tcPr>
            <w:tcW w:type="dxa" w:w="1160"/>
          </w:tcPr>
          <w:p>
            <w:pPr>
              <w:spacing w:after="0" w:line="252" w:lineRule="auto"/>
            </w:pPr>
            <w:r>
              <w:rPr>
                <w:rFonts w:ascii="Calibri" w:hAnsi="Calibri"/>
                <w:b w:val="0"/>
                <w:i w:val="0"/>
                <w:color w:val="233142"/>
                <w:sz w:val="17"/>
              </w:rPr>
              <w:t>Needs verification / hypothesis</w:t>
            </w:r>
          </w:p>
        </w:tc>
      </w:tr>
      <w:tr>
        <w:tc>
          <w:tcPr>
            <w:tcW w:type="dxa" w:w="1750"/>
          </w:tcPr>
          <w:p>
            <w:pPr>
              <w:spacing w:after="0" w:line="252" w:lineRule="auto"/>
            </w:pPr>
            <w:r>
              <w:rPr>
                <w:rFonts w:ascii="Calibri" w:hAnsi="Calibri"/>
                <w:b w:val="0"/>
                <w:i w:val="0"/>
                <w:color w:val="233142"/>
                <w:sz w:val="17"/>
              </w:rPr>
              <w:t>Casting-slip transcript</w:t>
            </w:r>
          </w:p>
        </w:tc>
        <w:tc>
          <w:tcPr>
            <w:tcW w:type="dxa" w:w="3850"/>
          </w:tcPr>
          <w:p>
            <w:pPr>
              <w:spacing w:after="0" w:line="252" w:lineRule="auto"/>
            </w:pPr>
            <w:r>
              <w:rPr>
                <w:rFonts w:ascii="Calibri" w:hAnsi="Calibri"/>
                <w:b w:val="0"/>
                <w:i w:val="0"/>
                <w:color w:val="233142"/>
                <w:sz w:val="17"/>
              </w:rPr>
              <w:t>this.docx; Low-Fire Casting Slip Brand Selection Report (1).docx</w:t>
            </w:r>
          </w:p>
        </w:tc>
        <w:tc>
          <w:tcPr>
            <w:tcW w:type="dxa" w:w="2600"/>
          </w:tcPr>
          <w:p>
            <w:pPr>
              <w:spacing w:after="0" w:line="252" w:lineRule="auto"/>
            </w:pPr>
            <w:r>
              <w:rPr>
                <w:rFonts w:ascii="Calibri" w:hAnsi="Calibri"/>
                <w:b w:val="0"/>
                <w:i w:val="0"/>
                <w:color w:val="233142"/>
                <w:sz w:val="17"/>
              </w:rPr>
              <w:t>Compatibility and sourcing questions.</w:t>
            </w:r>
          </w:p>
        </w:tc>
        <w:tc>
          <w:tcPr>
            <w:tcW w:type="dxa" w:w="1160"/>
          </w:tcPr>
          <w:p>
            <w:pPr>
              <w:spacing w:after="0" w:line="252" w:lineRule="auto"/>
            </w:pPr>
            <w:r>
              <w:rPr>
                <w:rFonts w:ascii="Calibri" w:hAnsi="Calibri"/>
                <w:b w:val="0"/>
                <w:i w:val="0"/>
                <w:color w:val="233142"/>
                <w:sz w:val="17"/>
              </w:rPr>
              <w:t>Needs verification</w:t>
            </w:r>
          </w:p>
        </w:tc>
      </w:tr>
    </w:tbl>
    <w:p>
      <w:pPr>
        <w:spacing w:before="0" w:after="40" w:line="264"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shd w:fill="F5EFE4"/>
          </w:tcPr>
          <w:p>
            <w:pPr>
              <w:spacing w:after="0" w:line="264" w:lineRule="auto"/>
            </w:pPr>
            <w:r>
              <w:rPr>
                <w:rFonts w:ascii="Calibri" w:hAnsi="Calibri"/>
                <w:b/>
                <w:i w:val="0"/>
                <w:color w:val="2E74B5"/>
                <w:sz w:val="20"/>
              </w:rPr>
              <w:t xml:space="preserve">Companion artifact.  </w:t>
            </w:r>
            <w:r>
              <w:rPr>
                <w:rFonts w:ascii="Calibri" w:hAnsi="Calibri"/>
                <w:b w:val="0"/>
                <w:i w:val="0"/>
                <w:color w:val="233142"/>
                <w:sz w:val="20"/>
              </w:rPr>
              <w:t>Use FiredArts_Research_Action_Workbook.xlsx for row-level records, editable statuses, metrics inputs, decision log, and source filenames. Use the Research, Opportunities, and Metrics views inside Growth HQ for the local-first operating workflow.</w:t>
            </w:r>
          </w:p>
        </w:tc>
      </w:tr>
    </w:tbl>
    <w:p>
      <w:pPr>
        <w:spacing w:before="0" w:after="40" w:line="264" w:lineRule="auto"/>
      </w:pPr>
    </w:p>
    <w:p>
      <w:pPr>
        <w:spacing w:before="160" w:after="0" w:line="264" w:lineRule="auto"/>
      </w:pPr>
      <w:r>
        <w:rPr>
          <w:rFonts w:ascii="Calibri" w:hAnsi="Calibri"/>
          <w:b w:val="0"/>
          <w:i/>
          <w:color w:val="666A6A"/>
          <w:sz w:val="18"/>
        </w:rPr>
        <w:t>Prepared for internal use by Fired Arts Studio. Original source files remain unchanged.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color w:val="666A6A"/>
        <w:sz w:val="16"/>
      </w:rPr>
      <w:t>Internal working document  ·  Source claims remain labeled until verified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i w:val="0"/>
        <w:color w:val="666A6A"/>
        <w:sz w:val="16"/>
      </w:rPr>
      <w:t>FIRED ARTS  |  RESEARCH ACTION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31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