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55F5" w14:textId="77777777" w:rsidR="00D85387" w:rsidRPr="003E3A9E" w:rsidRDefault="007916E9" w:rsidP="003A65C4">
      <w:pPr>
        <w:pStyle w:val="Heading10"/>
      </w:pPr>
      <w:r w:rsidRPr="003E3A9E">
        <w:t>A</w:t>
      </w:r>
      <w:r w:rsidR="003E3A9E" w:rsidRPr="003E3A9E">
        <w:t>nti</w:t>
      </w:r>
      <w:r w:rsidR="003E3A9E">
        <w:t>-</w:t>
      </w:r>
      <w:r w:rsidR="003E3A9E" w:rsidRPr="003E3A9E">
        <w:t xml:space="preserve">Money Laundering </w:t>
      </w:r>
      <w:r w:rsidR="001A0207" w:rsidRPr="003E3A9E">
        <w:t>Incident Register</w:t>
      </w:r>
    </w:p>
    <w:p>
      <w:pPr>
        <w:spacing w:before="40" w:after="40"/>
      </w:pPr>
      <w:r>
        <w:rPr>
          <w:rFonts w:ascii="Arial" w:eastAsia="Times New Roman" w:hAnsi="Arial" w:cs="Arial"/>
          <w:b/>
          <w:bCs/>
          <w:color w:val="C00000"/>
          <w:sz w:val="18"/>
        </w:rPr>
        <w:t xml:space="preserve">STRICTLY CONFIDENTIAL – for the MLRO only. Keep this register separate from customer files. Do not disclose its contents to the customer or anyone else: doing so may be a tipping-off or prejudicing-an-investigation offence.</w:t>
      </w:r>
    </w:p>
    <w:p>
      <w:pPr>
        <w:spacing w:before="40" w:after="40"/>
      </w:pPr>
      <w:r>
        <w:rPr>
          <w:rFonts w:ascii="Arial" w:eastAsia="Times New Roman" w:hAnsi="Arial" w:cs="Arial"/>
          <w:sz w:val="18"/>
        </w:rPr>
        <w:t xml:space="preserve">Firm: </w:t>
      </w:r>
      <w:r>
        <w:rPr>
          <w:rFonts w:ascii="Arial" w:eastAsia="Times New Roman" w:hAnsi="Arial" w:cs="Arial"/>
          <w:sz w:val="18"/>
          <w:b/>
          <w:bCs/>
          <w:highlight w:val="yellow"/>
        </w:rPr>
        <w:t xml:space="preserve">[Insert firm legal name]</w:t>
      </w:r>
      <w:r>
        <w:rPr>
          <w:rFonts w:ascii="Arial" w:eastAsia="Times New Roman" w:hAnsi="Arial" w:cs="Arial"/>
          <w:sz w:val="18"/>
        </w:rPr>
        <w:t xml:space="preserve">   |   MLRO / nominated officer: </w:t>
      </w:r>
      <w:r>
        <w:rPr>
          <w:rFonts w:ascii="Arial" w:eastAsia="Times New Roman" w:hAnsi="Arial" w:cs="Arial"/>
          <w:sz w:val="18"/>
          <w:b/>
          <w:bCs/>
          <w:highlight w:val="yellow"/>
        </w:rPr>
        <w:t xml:space="preserve">[Insert name]</w:t>
      </w:r>
      <w:r>
        <w:rPr>
          <w:rFonts w:ascii="Arial" w:eastAsia="Times New Roman" w:hAnsi="Arial" w:cs="Arial"/>
          <w:sz w:val="18"/>
        </w:rPr>
        <w:t xml:space="preserve">   |   Deputy: </w:t>
      </w:r>
      <w:r>
        <w:rPr>
          <w:rFonts w:ascii="Arial" w:eastAsia="Times New Roman" w:hAnsi="Arial" w:cs="Arial"/>
          <w:sz w:val="18"/>
          <w:b/>
          <w:bCs/>
          <w:highlight w:val="yellow"/>
        </w:rPr>
        <w:t xml:space="preserve">[Insert name, or delete]</w:t>
      </w:r>
    </w:p>
    <w:p>
      <w:pPr>
        <w:pBdr>
          <w:top w:val="single" w:sz="4" w:space="4" w:color="11304F"/>
          <w:left w:val="single" w:sz="24" w:space="4" w:color="11304F"/>
          <w:bottom w:val="single" w:sz="4" w:space="4" w:color="11304F"/>
          <w:right w:val="single" w:sz="4" w:space="4" w:color="11304F"/>
        </w:pBdr>
        <w:shd w:val="clear" w:color="auto" w:fill="F2F2F2"/>
        <w:spacing w:before="60" w:after="60"/>
        <w:ind w:left="113" w:right="113"/>
      </w:pPr>
      <w:r>
        <w:rPr>
          <w:rFonts w:ascii="Arial" w:eastAsia="Times New Roman" w:hAnsi="Arial" w:cs="Arial"/>
          <w:b/>
          <w:bCs/>
          <w:sz w:val="18"/>
        </w:rPr>
        <w:t xml:space="preserve">KMS guidance: </w:t>
      </w:r>
      <w:r>
        <w:rPr>
          <w:rFonts w:ascii="Arial" w:eastAsia="Times New Roman" w:hAnsi="Arial" w:cs="Arial"/>
          <w:i/>
          <w:sz w:val="18"/>
        </w:rPr>
        <w:t xml:space="preserve">This is the internal suspicious activity report log referred to in the Anti-Money Laundering and Financial Crime Policy (section 8). Record every internal suspicious activity report (ISAR) received by the MLRO, including those that do not lead to a report to the National Crime Agency (NCA). The FCA expects to see that every suspicion was considered promptly, that the MLRO’s reasoning is recorded, and that decisions were made independently of commercial considerations. A firm that cannot produce this record is unlikely to satisfy the FCA that its reporting procedures work.</w:t>
      </w:r>
    </w:p>
    <w:p>
      <w:pPr>
        <w:pBdr>
          <w:top w:val="single" w:sz="4" w:space="4" w:color="11304F"/>
          <w:left w:val="single" w:sz="24" w:space="4" w:color="11304F"/>
          <w:bottom w:val="single" w:sz="4" w:space="4" w:color="11304F"/>
          <w:right w:val="single" w:sz="4" w:space="4" w:color="11304F"/>
        </w:pBdr>
        <w:shd w:val="clear" w:color="auto" w:fill="F2F2F2"/>
        <w:spacing w:before="60" w:after="60"/>
        <w:ind w:left="113" w:right="113"/>
      </w:pPr>
      <w:r>
        <w:rPr>
          <w:rFonts w:ascii="Arial" w:eastAsia="Times New Roman" w:hAnsi="Arial" w:cs="Arial"/>
          <w:b/>
          <w:bCs/>
          <w:sz w:val="18"/>
        </w:rPr>
        <w:t xml:space="preserve">How to complete: </w:t>
      </w:r>
      <w:r>
        <w:rPr>
          <w:rFonts w:ascii="Arial" w:eastAsia="Times New Roman" w:hAnsi="Arial" w:cs="Arial"/>
          <w:i/>
          <w:sz w:val="18"/>
        </w:rPr>
        <w:t xml:space="preserve">Record: when the MLRO received the report; who raised it; a factual summary of the suspicion; what the MLRO reviewed and why they reached their decision; whether a Suspicious Activity Report (SAR) was submitted and its NCA reference; and any request for a defence against money laundering (DAML) – the NCA has seven working days to respond, and if it refuses, a moratorium period (normally 31 days) applies. Keep the ISAR form, MLRO notes and NCA correspondence in the confidential MLRO file </w:t>
      </w:r>
      <w:r>
        <w:rPr>
          <w:rFonts w:ascii="Arial" w:eastAsia="Times New Roman" w:hAnsi="Arial" w:cs="Arial"/>
          <w:i/>
          <w:sz w:val="18"/>
          <w:b/>
          <w:bCs/>
          <w:highlight w:val="yellow"/>
        </w:rPr>
        <w:t xml:space="preserve">[Insert location]</w:t>
      </w:r>
      <w:r>
        <w:rPr>
          <w:rFonts w:ascii="Arial" w:eastAsia="Times New Roman" w:hAnsi="Arial" w:cs="Arial"/>
          <w:i/>
          <w:sz w:val="18"/>
        </w:rPr>
        <w:t xml:space="preserve">. Retain for </w:t>
      </w:r>
      <w:r>
        <w:rPr>
          <w:rFonts w:ascii="Arial" w:eastAsia="Times New Roman" w:hAnsi="Arial" w:cs="Arial"/>
          <w:i/>
          <w:sz w:val="18"/>
          <w:b/>
          <w:bCs/>
          <w:highlight w:val="yellow"/>
        </w:rPr>
        <w:t xml:space="preserve">[Insert period, e.g. five years]</w:t>
      </w:r>
      <w:r>
        <w:rPr>
          <w:rFonts w:ascii="Arial" w:eastAsia="Times New Roman" w:hAnsi="Arial" w:cs="Arial"/>
          <w:i/>
          <w:sz w:val="18"/>
        </w:rPr>
        <w:t xml:space="preserve"> after the report.</w:t>
      </w:r>
    </w:p>
    <w:tbl>
      <w:tblPr>
        <w:tblStyle w:val="GridTable1Light"/>
        <w:tblW w:w="15398" w:type="dxa"/>
        <w:tblLayout w:type="fixed"/>
        <w:tblLook w:val="04A0" w:firstRow="1" w:lastRow="0" w:firstColumn="0" w:lastColumn="0" w:noHBand="0" w:noVBand="1"/>
      </w:tblPr>
      <w:tblGrid>
        <w:gridCol w:w="850"/>
        <w:gridCol w:w="1250"/>
        <w:gridCol w:w="1450"/>
        <w:gridCol w:w="1350"/>
        <w:gridCol w:w="2750"/>
        <w:gridCol w:w="2600"/>
        <w:gridCol w:w="1300"/>
        <w:gridCol w:w="1250"/>
        <w:gridCol w:w="1350"/>
        <w:gridCol w:w="1248"/>
      </w:tblGrid>
      <w:tr>
        <w:trPr>
          <w:cantSplit/>
          <w:tblHeader/>
        </w:trPr>
        <w:tc>
          <w:tcPr>
            <w:tcW w:w="850" w:type="dxa"/>
            <w:shd w:val="clear" w:color="auto" w:fill="E2EFD9"/>
            <w:vAlign w:val="center"/>
          </w:tcPr>
          <w:p>
            <w:pPr>
              <w:spacing w:before="40" w:after="40" w:line="240" w:lineRule="auto"/>
              <w:jc w:val="center"/>
            </w:pPr>
            <w:r>
              <w:rPr>
                <w:rFonts w:ascii="Arial" w:eastAsia="Times New Roman" w:hAnsi="Arial" w:cs="Arial"/>
                <w:b/>
                <w:bCs/>
                <w:sz w:val="18"/>
              </w:rPr>
              <w:t xml:space="preserve">Ref.</w:t>
            </w:r>
          </w:p>
        </w:tc>
        <w:tc>
          <w:tcPr>
            <w:tcW w:w="1250" w:type="dxa"/>
            <w:shd w:val="clear" w:color="auto" w:fill="E2EFD9"/>
            <w:vAlign w:val="center"/>
          </w:tcPr>
          <w:p>
            <w:pPr>
              <w:spacing w:before="40" w:after="40" w:line="240" w:lineRule="auto"/>
              <w:jc w:val="center"/>
            </w:pPr>
            <w:r>
              <w:rPr>
                <w:rFonts w:ascii="Arial" w:eastAsia="Times New Roman" w:hAnsi="Arial" w:cs="Arial"/>
                <w:b/>
                <w:bCs/>
                <w:sz w:val="18"/>
              </w:rPr>
              <w:t xml:space="preserve">Date ISAR received by MLRO</w:t>
            </w:r>
          </w:p>
        </w:tc>
        <w:tc>
          <w:tcPr>
            <w:tcW w:w="1450" w:type="dxa"/>
            <w:shd w:val="clear" w:color="auto" w:fill="E2EFD9"/>
            <w:vAlign w:val="center"/>
          </w:tcPr>
          <w:p>
            <w:pPr>
              <w:spacing w:before="40" w:after="40" w:line="240" w:lineRule="auto"/>
              <w:jc w:val="center"/>
            </w:pPr>
            <w:r>
              <w:rPr>
                <w:rFonts w:ascii="Arial" w:eastAsia="Times New Roman" w:hAnsi="Arial" w:cs="Arial"/>
                <w:b/>
                <w:bCs/>
                <w:sz w:val="18"/>
              </w:rPr>
              <w:t xml:space="preserve">Reported by (name and role)</w:t>
            </w:r>
          </w:p>
        </w:tc>
        <w:tc>
          <w:tcPr>
            <w:tcW w:w="1350" w:type="dxa"/>
            <w:shd w:val="clear" w:color="auto" w:fill="E2EFD9"/>
            <w:vAlign w:val="center"/>
          </w:tcPr>
          <w:p>
            <w:pPr>
              <w:spacing w:before="40" w:after="40" w:line="240" w:lineRule="auto"/>
              <w:jc w:val="center"/>
            </w:pPr>
            <w:r>
              <w:rPr>
                <w:rFonts w:ascii="Arial" w:eastAsia="Times New Roman" w:hAnsi="Arial" w:cs="Arial"/>
                <w:b/>
                <w:bCs/>
                <w:sz w:val="18"/>
              </w:rPr>
              <w:t xml:space="preserve">Customer / account reference</w:t>
            </w:r>
          </w:p>
        </w:tc>
        <w:tc>
          <w:tcPr>
            <w:tcW w:w="2750" w:type="dxa"/>
            <w:shd w:val="clear" w:color="auto" w:fill="E2EFD9"/>
            <w:vAlign w:val="center"/>
          </w:tcPr>
          <w:p>
            <w:pPr>
              <w:spacing w:before="40" w:after="40" w:line="240" w:lineRule="auto"/>
              <w:jc w:val="center"/>
            </w:pPr>
            <w:r>
              <w:rPr>
                <w:rFonts w:ascii="Arial" w:eastAsia="Times New Roman" w:hAnsi="Arial" w:cs="Arial"/>
                <w:b/>
                <w:bCs/>
                <w:sz w:val="18"/>
              </w:rPr>
              <w:t xml:space="preserve">Summary of the suspicion and why it arose</w:t>
            </w:r>
          </w:p>
        </w:tc>
        <w:tc>
          <w:tcPr>
            <w:tcW w:w="2600" w:type="dxa"/>
            <w:shd w:val="clear" w:color="auto" w:fill="E2EFD9"/>
            <w:vAlign w:val="center"/>
          </w:tcPr>
          <w:p>
            <w:pPr>
              <w:spacing w:before="40" w:after="40" w:line="240" w:lineRule="auto"/>
              <w:jc w:val="center"/>
            </w:pPr>
            <w:r>
              <w:rPr>
                <w:rFonts w:ascii="Arial" w:eastAsia="Times New Roman" w:hAnsi="Arial" w:cs="Arial"/>
                <w:b/>
                <w:bCs/>
                <w:sz w:val="18"/>
              </w:rPr>
              <w:t xml:space="preserve">MLRO review: information considered and reasoning</w:t>
            </w:r>
          </w:p>
        </w:tc>
        <w:tc>
          <w:tcPr>
            <w:tcW w:w="1300" w:type="dxa"/>
            <w:shd w:val="clear" w:color="auto" w:fill="E2EFD9"/>
            <w:vAlign w:val="center"/>
          </w:tcPr>
          <w:p>
            <w:pPr>
              <w:spacing w:before="40" w:after="40" w:line="240" w:lineRule="auto"/>
              <w:jc w:val="center"/>
            </w:pPr>
            <w:r>
              <w:rPr>
                <w:rFonts w:ascii="Arial" w:eastAsia="Times New Roman" w:hAnsi="Arial" w:cs="Arial"/>
                <w:b/>
                <w:bCs/>
                <w:sz w:val="18"/>
              </w:rPr>
              <w:t xml:space="preserve">Decision – SAR / no SAR (and date)</w:t>
            </w:r>
          </w:p>
        </w:tc>
        <w:tc>
          <w:tcPr>
            <w:tcW w:w="1250" w:type="dxa"/>
            <w:shd w:val="clear" w:color="auto" w:fill="E2EFD9"/>
            <w:vAlign w:val="center"/>
          </w:tcPr>
          <w:p>
            <w:pPr>
              <w:spacing w:before="40" w:after="40" w:line="240" w:lineRule="auto"/>
              <w:jc w:val="center"/>
            </w:pPr>
            <w:r>
              <w:rPr>
                <w:rFonts w:ascii="Arial" w:eastAsia="Times New Roman" w:hAnsi="Arial" w:cs="Arial"/>
                <w:b/>
                <w:bCs/>
                <w:sz w:val="18"/>
              </w:rPr>
              <w:t xml:space="preserve">NCA SAR reference</w:t>
            </w:r>
          </w:p>
        </w:tc>
        <w:tc>
          <w:tcPr>
            <w:tcW w:w="1350" w:type="dxa"/>
            <w:shd w:val="clear" w:color="auto" w:fill="E2EFD9"/>
            <w:vAlign w:val="center"/>
          </w:tcPr>
          <w:p>
            <w:pPr>
              <w:spacing w:before="40" w:after="40" w:line="240" w:lineRule="auto"/>
              <w:jc w:val="center"/>
            </w:pPr>
            <w:r>
              <w:rPr>
                <w:rFonts w:ascii="Arial" w:eastAsia="Times New Roman" w:hAnsi="Arial" w:cs="Arial"/>
                <w:b/>
                <w:bCs/>
                <w:sz w:val="18"/>
              </w:rPr>
              <w:t xml:space="preserve">DAML requested? Outcome and date</w:t>
            </w:r>
          </w:p>
        </w:tc>
        <w:tc>
          <w:tcPr>
            <w:tcW w:w="1248" w:type="dxa"/>
            <w:shd w:val="clear" w:color="auto" w:fill="E2EFD9"/>
            <w:vAlign w:val="center"/>
          </w:tcPr>
          <w:p>
            <w:pPr>
              <w:spacing w:before="40" w:after="40" w:line="240" w:lineRule="auto"/>
              <w:jc w:val="center"/>
            </w:pPr>
            <w:r>
              <w:rPr>
                <w:rFonts w:ascii="Arial" w:eastAsia="Times New Roman" w:hAnsi="Arial" w:cs="Arial"/>
                <w:b/>
                <w:bCs/>
                <w:sz w:val="18"/>
              </w:rPr>
              <w:t xml:space="preserve">Status / date closed</w:t>
            </w: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ISAR-001</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ISAR-002</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ISAR-003</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ISAR-004</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ISAR-005</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ISAR-006</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ISAR-007</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ISAR-008</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ISAR-009</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ISAR-010</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ISAR-011</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ISAR-012</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ISAR-013</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ISAR-014</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ISAR-015</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ISAR-016</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ISAR-017</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r>
        <w:trPr>
          <w:cantSplit/>
          <w:trHeight w:val="567"/>
        </w:trPr>
        <w:tc>
          <w:tcPr>
            <w:tcW w:w="850" w:type="dxa"/>
            <w:vAlign w:val="center"/>
          </w:tcPr>
          <w:p>
            <w:pPr>
              <w:spacing w:before="40" w:after="40" w:line="240" w:lineRule="auto"/>
              <w:jc w:val="left"/>
            </w:pPr>
            <w:r>
              <w:rPr>
                <w:rFonts w:ascii="Arial" w:eastAsia="Times New Roman" w:hAnsi="Arial" w:cs="Arial"/>
                <w:b w:val="0"/>
                <w:bCs w:val="0"/>
                <w:sz w:val="18"/>
              </w:rPr>
              <w:t xml:space="preserve">ISAR-018</w:t>
            </w:r>
          </w:p>
        </w:tc>
        <w:tc>
          <w:tcPr>
            <w:tcW w:w="1250" w:type="dxa"/>
            <w:vAlign w:val="center"/>
          </w:tcPr>
          <w:p>
            <w:pPr>
              <w:spacing w:before="40" w:after="40" w:line="240" w:lineRule="auto"/>
              <w:jc w:val="left"/>
            </w:pPr>
          </w:p>
        </w:tc>
        <w:tc>
          <w:tcPr>
            <w:tcW w:w="1450" w:type="dxa"/>
            <w:vAlign w:val="center"/>
          </w:tcPr>
          <w:p>
            <w:pPr>
              <w:spacing w:before="40" w:after="40" w:line="240" w:lineRule="auto"/>
              <w:jc w:val="left"/>
            </w:pPr>
          </w:p>
        </w:tc>
        <w:tc>
          <w:tcPr>
            <w:tcW w:w="1350" w:type="dxa"/>
            <w:vAlign w:val="center"/>
          </w:tcPr>
          <w:p>
            <w:pPr>
              <w:spacing w:before="40" w:after="40" w:line="240" w:lineRule="auto"/>
              <w:jc w:val="left"/>
            </w:pPr>
          </w:p>
        </w:tc>
        <w:tc>
          <w:tcPr>
            <w:tcW w:w="2750" w:type="dxa"/>
            <w:vAlign w:val="center"/>
          </w:tcPr>
          <w:p>
            <w:pPr>
              <w:spacing w:before="40" w:after="40" w:line="240" w:lineRule="auto"/>
              <w:jc w:val="left"/>
            </w:pPr>
          </w:p>
        </w:tc>
        <w:tc>
          <w:tcPr>
            <w:tcW w:w="2600" w:type="dxa"/>
            <w:vAlign w:val="center"/>
          </w:tcPr>
          <w:p>
            <w:pPr>
              <w:spacing w:before="40" w:after="40" w:line="240" w:lineRule="auto"/>
              <w:jc w:val="left"/>
            </w:pPr>
          </w:p>
        </w:tc>
        <w:tc>
          <w:tcPr>
            <w:tcW w:w="1300" w:type="dxa"/>
            <w:vAlign w:val="center"/>
          </w:tcPr>
          <w:p>
            <w:pPr>
              <w:spacing w:before="40" w:after="40" w:line="240" w:lineRule="auto"/>
              <w:jc w:val="left"/>
            </w:pPr>
          </w:p>
        </w:tc>
        <w:tc>
          <w:tcPr>
            <w:tcW w:w="1250" w:type="dxa"/>
            <w:vAlign w:val="center"/>
          </w:tcPr>
          <w:p>
            <w:pPr>
              <w:spacing w:before="40" w:after="40" w:line="240" w:lineRule="auto"/>
              <w:jc w:val="left"/>
            </w:pPr>
          </w:p>
        </w:tc>
        <w:tc>
          <w:tcPr>
            <w:tcW w:w="1350" w:type="dxa"/>
            <w:vAlign w:val="center"/>
          </w:tcPr>
          <w:p>
            <w:pPr>
              <w:spacing w:before="40" w:after="40" w:line="240" w:lineRule="auto"/>
              <w:jc w:val="left"/>
            </w:pPr>
          </w:p>
        </w:tc>
        <w:tc>
          <w:tcPr>
            <w:tcW w:w="1248" w:type="dxa"/>
            <w:vAlign w:val="center"/>
          </w:tcPr>
          <w:p>
            <w:pPr>
              <w:spacing w:before="40" w:after="40" w:line="240" w:lineRule="auto"/>
              <w:jc w:val="left"/>
            </w:pPr>
          </w:p>
        </w:tc>
      </w:tr>
    </w:tbl>
    <w:p>
      <w:pPr>
        <w:spacing w:before="40" w:after="40"/>
      </w:pPr>
      <w:r>
        <w:rPr>
          <w:rFonts w:ascii="Arial" w:eastAsia="Times New Roman" w:hAnsi="Arial" w:cs="Arial"/>
          <w:sz w:val="18"/>
        </w:rPr>
        <w:t xml:space="preserve"> </w:t>
      </w:r>
    </w:p>
    <w:sectPr w:rsidR="008C67CB" w:rsidRPr="00C54123" w:rsidSect="00EB0EC6">
      <w:head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BE546" w14:textId="77777777" w:rsidR="00355C53" w:rsidRDefault="00355C53" w:rsidP="001E147D">
      <w:pPr>
        <w:spacing w:line="240" w:lineRule="auto"/>
      </w:pPr>
      <w:r>
        <w:separator/>
      </w:r>
    </w:p>
  </w:endnote>
  <w:endnote w:type="continuationSeparator" w:id="0">
    <w:p w14:paraId="47498224" w14:textId="77777777" w:rsidR="00355C53" w:rsidRDefault="00355C53" w:rsidP="001E1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D8E66" w14:textId="77777777" w:rsidR="00355C53" w:rsidRDefault="00355C53" w:rsidP="001E147D">
      <w:pPr>
        <w:spacing w:line="240" w:lineRule="auto"/>
      </w:pPr>
      <w:r>
        <w:separator/>
      </w:r>
    </w:p>
  </w:footnote>
  <w:footnote w:type="continuationSeparator" w:id="0">
    <w:p w14:paraId="146C605F" w14:textId="77777777" w:rsidR="00355C53" w:rsidRDefault="00355C53" w:rsidP="001E1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0B0B" w14:textId="559A0272" w:rsidR="00483ABB" w:rsidRPr="00AD2481" w:rsidRDefault="003E3A9E" w:rsidP="00AD2481">
    <w:pPr>
      <w:jc w:val="right"/>
      <w:rPr>
        <w:color w:val="3A7C22" w:themeColor="accent6" w:themeShade="BF"/>
      </w:rPr>
    </w:pPr>
    <w:r w:rsidRPr="00AD2481">
      <w:rPr>
        <w:color w:val="3A7C22" w:themeColor="accent6" w:themeShade="BF"/>
      </w:rPr>
      <w:t>Anti-Money Laundering Incident Registe</w:t>
    </w:r>
    <w:r w:rsidR="00AD2481" w:rsidRPr="00AD2481">
      <w:rPr>
        <w:color w:val="3A7C22" w:themeColor="accent6" w:themeShade="BF"/>
      </w:rPr>
      <w:t>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A3E6D5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71580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7CB"/>
    <w:rsid w:val="00014A35"/>
    <w:rsid w:val="00052F69"/>
    <w:rsid w:val="00080C0A"/>
    <w:rsid w:val="00082560"/>
    <w:rsid w:val="000854C8"/>
    <w:rsid w:val="00096C52"/>
    <w:rsid w:val="000D3B94"/>
    <w:rsid w:val="001079A1"/>
    <w:rsid w:val="001539E1"/>
    <w:rsid w:val="00194BC2"/>
    <w:rsid w:val="001A0207"/>
    <w:rsid w:val="001A0940"/>
    <w:rsid w:val="001E147D"/>
    <w:rsid w:val="001E3872"/>
    <w:rsid w:val="00280340"/>
    <w:rsid w:val="00283682"/>
    <w:rsid w:val="002B6F1E"/>
    <w:rsid w:val="002D4C50"/>
    <w:rsid w:val="002E1B3E"/>
    <w:rsid w:val="003121EF"/>
    <w:rsid w:val="00352350"/>
    <w:rsid w:val="00355C53"/>
    <w:rsid w:val="00396A0C"/>
    <w:rsid w:val="003A65C4"/>
    <w:rsid w:val="003E3A9E"/>
    <w:rsid w:val="003F0290"/>
    <w:rsid w:val="00424902"/>
    <w:rsid w:val="00483ABB"/>
    <w:rsid w:val="004A5F17"/>
    <w:rsid w:val="0051075C"/>
    <w:rsid w:val="005C4AAD"/>
    <w:rsid w:val="005E419C"/>
    <w:rsid w:val="00646D6A"/>
    <w:rsid w:val="00650260"/>
    <w:rsid w:val="006A489D"/>
    <w:rsid w:val="006E442B"/>
    <w:rsid w:val="00724195"/>
    <w:rsid w:val="0073636D"/>
    <w:rsid w:val="0074348F"/>
    <w:rsid w:val="00760978"/>
    <w:rsid w:val="0078038C"/>
    <w:rsid w:val="007916E9"/>
    <w:rsid w:val="007D535F"/>
    <w:rsid w:val="007F0F1F"/>
    <w:rsid w:val="008207F5"/>
    <w:rsid w:val="00831FFA"/>
    <w:rsid w:val="008436F0"/>
    <w:rsid w:val="008C67CB"/>
    <w:rsid w:val="008E072E"/>
    <w:rsid w:val="008E2523"/>
    <w:rsid w:val="00901291"/>
    <w:rsid w:val="00934AEA"/>
    <w:rsid w:val="00941660"/>
    <w:rsid w:val="009767C9"/>
    <w:rsid w:val="009C40B3"/>
    <w:rsid w:val="00A12887"/>
    <w:rsid w:val="00A54DBB"/>
    <w:rsid w:val="00A7696A"/>
    <w:rsid w:val="00A80E45"/>
    <w:rsid w:val="00AA77EE"/>
    <w:rsid w:val="00AD2481"/>
    <w:rsid w:val="00B65809"/>
    <w:rsid w:val="00B722DA"/>
    <w:rsid w:val="00BA6C87"/>
    <w:rsid w:val="00BF380D"/>
    <w:rsid w:val="00C54123"/>
    <w:rsid w:val="00C643BC"/>
    <w:rsid w:val="00CB3BE7"/>
    <w:rsid w:val="00CC08CC"/>
    <w:rsid w:val="00CC2217"/>
    <w:rsid w:val="00D510EC"/>
    <w:rsid w:val="00D646FF"/>
    <w:rsid w:val="00D85387"/>
    <w:rsid w:val="00D919E3"/>
    <w:rsid w:val="00DA24E2"/>
    <w:rsid w:val="00DA3C07"/>
    <w:rsid w:val="00DA665C"/>
    <w:rsid w:val="00DB47DA"/>
    <w:rsid w:val="00E73C62"/>
    <w:rsid w:val="00E81A93"/>
    <w:rsid w:val="00E87B91"/>
    <w:rsid w:val="00EB0EC6"/>
    <w:rsid w:val="00EB6AA9"/>
    <w:rsid w:val="00EE4FBB"/>
    <w:rsid w:val="00EF6107"/>
    <w:rsid w:val="00F1606A"/>
    <w:rsid w:val="00F9348E"/>
    <w:rsid w:val="00FE25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1719DF"/>
  <w15:chartTrackingRefBased/>
  <w15:docId w15:val="{6312BF19-0B0C-4CA4-84B9-E8A998AC3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902"/>
    <w:pPr>
      <w:spacing w:line="276" w:lineRule="auto"/>
    </w:pPr>
    <w:rPr>
      <w:sz w:val="22"/>
      <w:szCs w:val="22"/>
      <w:lang w:eastAsia="en-US"/>
    </w:rPr>
  </w:style>
  <w:style w:type="paragraph" w:styleId="Heading1">
    <w:name w:val="heading 1"/>
    <w:basedOn w:val="Normal"/>
    <w:next w:val="Normal"/>
    <w:link w:val="Heading1Char"/>
    <w:uiPriority w:val="9"/>
    <w:qFormat/>
    <w:rsid w:val="000D3B94"/>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C67C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Shading1-Accent3">
    <w:name w:val="Medium Shading 1 Accent 3"/>
    <w:basedOn w:val="TableNormal"/>
    <w:uiPriority w:val="63"/>
    <w:rsid w:val="008C67CB"/>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Grid-Accent3">
    <w:name w:val="Light Grid Accent 3"/>
    <w:basedOn w:val="TableNormal"/>
    <w:uiPriority w:val="62"/>
    <w:rsid w:val="00AA77EE"/>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styleId="Header">
    <w:name w:val="header"/>
    <w:basedOn w:val="Normal"/>
    <w:link w:val="HeaderChar"/>
    <w:uiPriority w:val="99"/>
    <w:unhideWhenUsed/>
    <w:rsid w:val="001E147D"/>
    <w:pPr>
      <w:tabs>
        <w:tab w:val="center" w:pos="4513"/>
        <w:tab w:val="right" w:pos="9026"/>
      </w:tabs>
    </w:pPr>
    <w:rPr>
      <w:lang w:val="x-none"/>
    </w:rPr>
  </w:style>
  <w:style w:type="character" w:customStyle="1" w:styleId="HeaderChar">
    <w:name w:val="Header Char"/>
    <w:link w:val="Header"/>
    <w:uiPriority w:val="99"/>
    <w:rsid w:val="001E147D"/>
    <w:rPr>
      <w:sz w:val="22"/>
      <w:szCs w:val="22"/>
      <w:lang w:eastAsia="en-US"/>
    </w:rPr>
  </w:style>
  <w:style w:type="paragraph" w:styleId="Footer">
    <w:name w:val="footer"/>
    <w:basedOn w:val="Normal"/>
    <w:link w:val="FooterChar"/>
    <w:uiPriority w:val="99"/>
    <w:unhideWhenUsed/>
    <w:rsid w:val="001E147D"/>
    <w:pPr>
      <w:tabs>
        <w:tab w:val="center" w:pos="4513"/>
        <w:tab w:val="right" w:pos="9026"/>
      </w:tabs>
    </w:pPr>
    <w:rPr>
      <w:lang w:val="x-none"/>
    </w:rPr>
  </w:style>
  <w:style w:type="character" w:customStyle="1" w:styleId="FooterChar">
    <w:name w:val="Footer Char"/>
    <w:link w:val="Footer"/>
    <w:uiPriority w:val="99"/>
    <w:rsid w:val="001E147D"/>
    <w:rPr>
      <w:sz w:val="22"/>
      <w:szCs w:val="22"/>
      <w:lang w:eastAsia="en-US"/>
    </w:rPr>
  </w:style>
  <w:style w:type="paragraph" w:styleId="BalloonText">
    <w:name w:val="Balloon Text"/>
    <w:basedOn w:val="Normal"/>
    <w:link w:val="BalloonTextChar"/>
    <w:uiPriority w:val="99"/>
    <w:semiHidden/>
    <w:unhideWhenUsed/>
    <w:rsid w:val="00831FFA"/>
    <w:pPr>
      <w:spacing w:line="240" w:lineRule="auto"/>
    </w:pPr>
    <w:rPr>
      <w:rFonts w:ascii="Tahoma" w:hAnsi="Tahoma"/>
      <w:sz w:val="16"/>
      <w:szCs w:val="16"/>
      <w:lang w:val="x-none"/>
    </w:rPr>
  </w:style>
  <w:style w:type="character" w:customStyle="1" w:styleId="BalloonTextChar">
    <w:name w:val="Balloon Text Char"/>
    <w:link w:val="BalloonText"/>
    <w:uiPriority w:val="99"/>
    <w:semiHidden/>
    <w:rsid w:val="00831FFA"/>
    <w:rPr>
      <w:rFonts w:ascii="Tahoma" w:hAnsi="Tahoma" w:cs="Tahoma"/>
      <w:sz w:val="16"/>
      <w:szCs w:val="16"/>
      <w:lang w:eastAsia="en-US"/>
    </w:rPr>
  </w:style>
  <w:style w:type="table" w:styleId="LightGrid">
    <w:name w:val="Light Grid"/>
    <w:basedOn w:val="TableNormal"/>
    <w:uiPriority w:val="62"/>
    <w:rsid w:val="00C5412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Math" w:eastAsia="Times New Roman" w:hAnsi="Cambria Math"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Shading-Accent5">
    <w:name w:val="Light Shading Accent 5"/>
    <w:basedOn w:val="TableNormal"/>
    <w:uiPriority w:val="60"/>
    <w:rsid w:val="00A80E45"/>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Grid-Accent5">
    <w:name w:val="Light Grid Accent 5"/>
    <w:basedOn w:val="TableNormal"/>
    <w:uiPriority w:val="62"/>
    <w:rsid w:val="00A80E45"/>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Math" w:eastAsia="Times New Roman" w:hAnsi="Cambria Math"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character" w:customStyle="1" w:styleId="Heading1Char">
    <w:name w:val="Heading 1 Char"/>
    <w:link w:val="Heading1"/>
    <w:uiPriority w:val="9"/>
    <w:rsid w:val="000D3B94"/>
    <w:rPr>
      <w:rFonts w:ascii="Cambria" w:eastAsia="Times New Roman" w:hAnsi="Cambria" w:cs="Times New Roman"/>
      <w:b/>
      <w:bCs/>
      <w:kern w:val="32"/>
      <w:sz w:val="32"/>
      <w:szCs w:val="32"/>
      <w:lang w:eastAsia="en-US"/>
    </w:rPr>
  </w:style>
  <w:style w:type="table" w:styleId="GridTable2">
    <w:name w:val="Grid Table 2"/>
    <w:basedOn w:val="TableNormal"/>
    <w:uiPriority w:val="47"/>
    <w:rsid w:val="009767C9"/>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Heading10">
    <w:name w:val="Heading1"/>
    <w:basedOn w:val="Heading1"/>
    <w:link w:val="Heading1Char0"/>
    <w:qFormat/>
    <w:rsid w:val="003A65C4"/>
    <w:rPr>
      <w:rFonts w:ascii="Calibri" w:hAnsi="Calibri"/>
      <w:color w:val="8DD873" w:themeColor="accent6" w:themeTint="99"/>
      <w:u w:color="C00000"/>
    </w:rPr>
  </w:style>
  <w:style w:type="character" w:customStyle="1" w:styleId="Heading1Char0">
    <w:name w:val="Heading1 Char"/>
    <w:basedOn w:val="Heading1Char"/>
    <w:link w:val="Heading10"/>
    <w:rsid w:val="003A65C4"/>
    <w:rPr>
      <w:rFonts w:ascii="Cambria" w:eastAsia="Times New Roman" w:hAnsi="Cambria" w:cs="Times New Roman"/>
      <w:b/>
      <w:bCs/>
      <w:color w:val="8DD873" w:themeColor="accent6" w:themeTint="99"/>
      <w:kern w:val="32"/>
      <w:sz w:val="32"/>
      <w:szCs w:val="32"/>
      <w:u w:color="C00000"/>
      <w:lang w:eastAsia="en-US"/>
    </w:rPr>
  </w:style>
  <w:style w:type="table" w:customStyle="1" w:styleId="Style1">
    <w:name w:val="Style1"/>
    <w:basedOn w:val="TableNormal"/>
    <w:uiPriority w:val="99"/>
    <w:rsid w:val="003A65C4"/>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FFFFFF" w:themeFill="background1"/>
    </w:tcPr>
  </w:style>
  <w:style w:type="table" w:styleId="GridTable1Light-Accent6">
    <w:name w:val="Grid Table 1 Light Accent 6"/>
    <w:basedOn w:val="TableNormal"/>
    <w:uiPriority w:val="46"/>
    <w:rsid w:val="00AD2481"/>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D2481"/>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D24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D4011-8BCC-43F9-9DC8-75F6D400E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37</Words>
  <Characters>217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Rule breach register</vt:lpstr>
    </vt:vector>
  </TitlesOfParts>
  <Company>Microsoft</Company>
  <LinksUpToDate>false</LinksUpToDate>
  <CharactersWithSpaces>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 breach register</dc:title>
  <dc:subject/>
  <dc:creator>Karen Malin</dc:creator>
  <cp:keywords/>
  <cp:lastModifiedBy>Matthew Gunn</cp:lastModifiedBy>
  <cp:revision>5</cp:revision>
  <dcterms:created xsi:type="dcterms:W3CDTF">2026-02-01T09:54:00Z</dcterms:created>
  <dcterms:modified xsi:type="dcterms:W3CDTF">2026-02-01T10:02:00Z</dcterms:modified>
</cp:coreProperties>
</file>