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91376" w14:textId="622A0787" w:rsidR="005F0D2E" w:rsidRDefault="005F0D2E">
      <w:pPr>
        <w:rPr>
          <w:b/>
          <w:bCs/>
          <w:noProof/>
        </w:rPr>
      </w:pPr>
    </w:p>
    <w:p w14:paraId="669618DF" w14:textId="77777777" w:rsidR="005F0D2E" w:rsidRDefault="005F0D2E" w:rsidP="005F0D2E">
      <w:pPr>
        <w:pStyle w:val="Heading1"/>
      </w:pPr>
    </w:p>
    <w:p w14:paraId="1D8AFE86" w14:textId="77777777" w:rsidR="005F0D2E" w:rsidRDefault="005F0D2E" w:rsidP="005F0D2E">
      <w:pPr>
        <w:pStyle w:val="Heading1"/>
      </w:pPr>
    </w:p>
    <w:p w14:paraId="27978C15" w14:textId="77777777" w:rsidR="005F0D2E" w:rsidRDefault="005F0D2E" w:rsidP="005F0D2E">
      <w:pPr>
        <w:pStyle w:val="Heading1"/>
      </w:pPr>
    </w:p>
    <w:p w14:paraId="380B0B57" w14:textId="77777777" w:rsidR="005F0D2E" w:rsidRDefault="005F0D2E" w:rsidP="005F0D2E">
      <w:pPr>
        <w:pStyle w:val="Heading1"/>
      </w:pPr>
    </w:p>
    <w:p w14:paraId="0D3FE34F" w14:textId="7BE5C031" w:rsidR="005F0D2E" w:rsidRPr="001402F0" w:rsidRDefault="005F0D2E" w:rsidP="005F0D2E">
      <w:pPr>
        <w:pStyle w:val="Heading1"/>
      </w:pPr>
      <w:r>
        <w:rPr>
          <w:color w:val="3A7C22" w:themeColor="accent6" w:themeShade="BF"/>
        </w:rPr>
        <w:t xml:space="preserve">Anti-Money Laundering and Financial Crime Policy</w:t>
      </w:r>
    </w:p>
    <w:p w14:paraId="66FFF4E2" w14:textId="77777777" w:rsidR="005F0D2E" w:rsidRDefault="005F0D2E" w:rsidP="005F0D2E">
      <w:r>
        <w:t xml:space="preserve">Firm: </w:t>
      </w:r>
      <w:r>
        <w:rPr>
          <w:b/>
          <w:bCs/>
          <w:highlight w:val="yellow"/>
        </w:rPr>
        <w:t xml:space="preserve">[Insert firm legal name]</w:t>
      </w:r>
      <w:r>
        <w:t xml:space="preserve"> (FRN: </w:t>
      </w:r>
      <w:r>
        <w:rPr>
          <w:b/>
          <w:bCs/>
          <w:highlight w:val="yellow"/>
        </w:rPr>
        <w:t xml:space="preserve">[Insert FRN, or ‘application pending’]</w:t>
      </w:r>
      <w:r>
        <w:t xml:space="preserve">)</w:t>
      </w:r>
    </w:p>
    <w:p w14:paraId="66FFF4E2" w14:textId="77777777" w:rsidR="005F0D2E" w:rsidRDefault="005F0D2E" w:rsidP="005F0D2E">
      <w:r>
        <w:t xml:space="preserve">Written by: </w:t>
      </w:r>
      <w:r>
        <w:rPr>
          <w:b/>
          <w:bCs/>
          <w:highlight w:val="yellow"/>
        </w:rPr>
        <w:t xml:space="preserve">[Insert name and role of the person who prepared this document]</w:t>
      </w:r>
    </w:p>
    <w:p w14:paraId="0462823C" w14:textId="77777777" w:rsidR="005F0D2E" w:rsidRDefault="005F0D2E" w:rsidP="005F0D2E">
      <w:r>
        <w:t xml:space="preserve">Approved by: </w:t>
      </w:r>
      <w:r>
        <w:rPr>
          <w:b/>
          <w:bCs/>
          <w:highlight w:val="yellow"/>
        </w:rPr>
        <w:t xml:space="preserve">[Insert name and role of the director or senior manager who approved this document]</w:t>
      </w:r>
    </w:p>
    <w:p w14:paraId="522ADC23" w14:textId="77777777" w:rsidR="005F0D2E" w:rsidRDefault="005F0D2E" w:rsidP="005F0D2E">
      <w:r>
        <w:t xml:space="preserve">Date approved: </w:t>
      </w:r>
      <w:r>
        <w:rPr>
          <w:b/>
          <w:bCs/>
          <w:highlight w:val="yellow"/>
        </w:rPr>
        <w:t xml:space="preserve">[Insert date]</w:t>
      </w:r>
    </w:p>
    <w:p w14:paraId="514C083A" w14:textId="77777777" w:rsidR="005F0D2E" w:rsidRDefault="005F0D2E" w:rsidP="005F0D2E">
      <w:r>
        <w:t xml:space="preserve">Next review date: </w:t>
      </w:r>
      <w:r>
        <w:rPr>
          <w:b/>
          <w:bCs/>
          <w:highlight w:val="yellow"/>
        </w:rPr>
        <w:t xml:space="preserve">[Insert date – no later than 12 months after approval]</w:t>
      </w:r>
    </w:p>
    <w:p w14:paraId="16FDC419" w14:textId="77777777" w:rsidR="005F0D2E" w:rsidRDefault="005F0D2E">
      <w:r>
        <w:br w:type="page"/>
      </w:r>
    </w:p>
    <w:sdt>
      <w:sdtPr>
        <w:id w:val="-2045982985"/>
        <w:docPartObj>
          <w:docPartGallery w:val="Table of Contents"/>
          <w:docPartUnique/>
        </w:docPartObj>
      </w:sdtPr>
      <w:sdtEndPr>
        <w:rPr>
          <w:b/>
          <w:bCs/>
          <w:noProof/>
          <w:color w:val="auto"/>
        </w:rPr>
      </w:sdtEndPr>
      <w:sdtContent>
        <w:p w14:paraId="016FB4CB" w14:textId="77777777" w:rsidR="005F0D2E" w:rsidRPr="001402F0" w:rsidRDefault="005F0D2E" w:rsidP="002C6FD3">
          <w:pPr>
            <w:pStyle w:val="Heading10"/>
          </w:pPr>
          <w:r w:rsidRPr="001402F0">
            <w:t>Contents</w:t>
          </w:r>
        </w:p>
        <w:p>
          <w:pPr>
            <w:pStyle w:val="TOC1"/>
            <w:tabs>
              <w:tab w:val="right" w:leader="dot" w:pos="9016"/>
            </w:tabs>
          </w:pPr>
          <w:r>
            <w:fldChar w:fldCharType="begin" w:dirty="true"/>
          </w:r>
          <w:r>
            <w:instrText xml:space="preserve"> TOC \o "1-3" \h \z \u </w:instrText>
          </w:r>
          <w:r>
            <w:fldChar w:fldCharType="separate"/>
          </w:r>
          <w:r>
            <w:rPr>
              <w:b/>
              <w:bCs/>
              <w:highlight w:val="yellow"/>
            </w:rPr>
            <w:t xml:space="preserve">[Contents list: right-click here and choose “Update Field”, then “Update entire table”, to build the contents list once you have deleted the options that do not apply to your firm.]</w:t>
          </w:r>
          <w:r>
            <w:fldChar w:fldCharType="end"/>
          </w:r>
        </w:p>
      </w:sdtContent>
    </w:sdt>
    <w:p w14:paraId="28B7413F" w14:textId="6A4C9505" w:rsidR="005F0D2E" w:rsidRDefault="005F0D2E">
      <w:r>
        <w:br w:type="page"/>
      </w:r>
    </w:p>
    <w:p>
      <w:pPr>
        <w:pStyle w:val="Heading20"/>
        <w:numPr>
          <w:ilvl w:val="0"/>
          <w:numId w:val="0"/>
        </w:numPr>
        <w:outlineLvl w:val="0"/>
      </w:pPr>
      <w:r>
        <w:t xml:space="preserve">How to use this template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Read this page first, then delete it (and every other shaded “KMS guidance” box) before you submit or adopt the document. Nothing in this section forms part of your policy.</w:t>
      </w:r>
    </w:p>
    <w:p>
      <w:r>
        <w:t xml:space="preserve">This template is written for firms applying for, or holding, FCA authorisation. It contains universal wording that applies to every firm, plus </w:t>
      </w:r>
      <w:r>
        <w:rPr>
          <w:b/>
          <w:bCs/>
        </w:rPr>
        <w:t xml:space="preserve">activity-specific options</w:t>
      </w:r>
      <w:r>
        <w:t xml:space="preserve"> for the parts where the rules genuinely differ between regulated activities.</w:t>
      </w:r>
    </w:p>
    <w:p>
      <w:pPr>
        <w:numPr>
          <w:ilvl w:val="0"/>
          <w:numId w:val="1"/>
        </w:numPr>
      </w:pPr>
      <w:r>
        <w:rPr>
          <w:b/>
          <w:bCs/>
        </w:rPr>
        <w:t xml:space="preserve">Yellow highlighted text in square brackets</w:t>
      </w:r>
      <w:r>
        <w:t xml:space="preserve"> is a placeholder or an instruction. Replace every placeholder with your firm’s own details and remove the brackets. Before you finish, search the document for “[” to make sure none are left.</w:t>
      </w:r>
    </w:p>
    <w:p>
      <w:pPr>
        <w:numPr>
          <w:ilvl w:val="0"/>
          <w:numId w:val="1"/>
        </w:numPr>
      </w:pPr>
      <w:r>
        <w:rPr>
          <w:b/>
          <w:bCs/>
        </w:rPr>
        <w:t xml:space="preserve">Green “START OF OPTION” and “END OF OPTION” banners</w:t>
      </w:r>
      <w:r>
        <w:t xml:space="preserve"> mark self-contained option blocks. Keep only the option(s) that match the permissions your firm holds or is applying for. Delete every other option in full – from its START banner to its END banner inclusive – and then delete the banners of the options you keep.</w:t>
      </w:r>
    </w:p>
    <w:p>
      <w:pPr>
        <w:numPr>
          <w:ilvl w:val="0"/>
          <w:numId w:val="1"/>
        </w:numPr>
      </w:pPr>
      <w:r>
        <w:t xml:space="preserve">Each option is written to stand alone. It does not rely on wording, numbering or definitions in any other option, so deleting one never requires you to edit another. Options are labelled with the section number and a letter (for example 4A, 4C). Gaps in the lettering after you delete options are expected and do not need to be renumbered.</w:t>
      </w:r>
    </w:p>
    <w:p>
      <w:pPr>
        <w:numPr>
          <w:ilvl w:val="0"/>
          <w:numId w:val="1"/>
        </w:numPr>
      </w:pPr>
      <w:r>
        <w:rPr>
          <w:b/>
          <w:bCs/>
        </w:rPr>
        <w:t xml:space="preserve">Supporting registers are mandatory.</w:t>
      </w:r>
      <w:r>
        <w:t xml:space="preserve"> This document relies on the KMS registers listed in its “Supporting registers” section (where it has one). The FCA judges a firm on the records that show its policies working in practice, so a firm that adopts this document without using its registers is likely to fail FCA scrutiny. Start using them from day one.</w:t>
      </w:r>
    </w:p>
    <w:p>
      <w:pPr>
        <w:numPr>
          <w:ilvl w:val="0"/>
          <w:numId w:val="1"/>
        </w:numPr>
      </w:pPr>
      <w:r>
        <w:rPr>
          <w:b/>
          <w:bCs/>
        </w:rPr>
        <w:t xml:space="preserve">Grey “KMS guidance” boxes</w:t>
      </w:r>
      <w:r>
        <w:t xml:space="preserve"> explain what a section needs and how to complete it. Delete them once you have acted on them.</w:t>
      </w:r>
    </w:p>
    <w:p>
      <w:pPr>
        <w:numPr>
          <w:ilvl w:val="0"/>
          <w:numId w:val="1"/>
        </w:numPr>
      </w:pPr>
      <w:r>
        <w:rPr>
          <w:b/>
          <w:bCs/>
        </w:rPr>
        <w:t xml:space="preserve">Amber “Regulatory watch” boxes</w:t>
      </w:r>
      <w:r>
        <w:t xml:space="preserve"> (also flagged with a Word comment) mark points that depend on FCA or Government material that is still in consultation, under legal challenge or not yet in force. Check the current position before you submit, then delete the box.</w:t>
      </w:r>
    </w:p>
    <w:p>
      <w:pPr>
        <w:numPr>
          <w:ilvl w:val="0"/>
          <w:numId w:val="1"/>
        </w:numPr>
      </w:pPr>
      <w:r>
        <w:t xml:space="preserve">If your firm holds several permissions (for example credit broking and insurance distribution), keep every option that applies. Where two kept options contain overlapping wording, that is intentional – each must make sense on its own.</w:t>
      </w:r>
    </w:p>
    <w:p>
      <w:pPr>
        <w:numPr>
          <w:ilvl w:val="0"/>
          <w:numId w:val="1"/>
        </w:numPr>
      </w:pPr>
      <w:r>
        <w:t xml:space="preserve">When you have finished, update the contents list if the document has one (right-click it and choose “Update Field”).</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Your policy must describe what your firm will actually do. The FCA will test it against your business plan, systems, staff and resources. Remove or adapt any commitment you cannot meet in practice – an over-promising document is a weakness in an application, not a strength.</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b/>
          <w:bCs/>
        </w:rPr>
        <w:t xml:space="preserve">Before you start: does the Money Laundering Regulations 2017 apply to your firm?</w:t>
      </w:r>
      <w:r>
        <w:rPr>
          <w:i/>
          <w:iCs/>
        </w:rPr>
        <w:t xml:space="preserve"> Whether the MLRs apply depends on your regulated activities, and it changes a lot about this policy. Section 2 contains one option per activity that tells you the position. Read the option(s) for your activities first. If any option you keep says your firm is </w:t>
      </w:r>
      <w:r>
        <w:rPr>
          <w:i/>
          <w:iCs/>
          <w:b/>
          <w:bCs/>
        </w:rPr>
        <w:t xml:space="preserve">within</w:t>
      </w:r>
      <w:r>
        <w:rPr>
          <w:i/>
          <w:iCs/>
        </w:rPr>
        <w:t xml:space="preserve"> the MLRs, your whole firm must meet the MLR standard, and you should keep Option 8A and delete Option 8B. If every option you keep says your firm is </w:t>
      </w:r>
      <w:r>
        <w:rPr>
          <w:i/>
          <w:iCs/>
          <w:b/>
          <w:bCs/>
        </w:rPr>
        <w:t xml:space="preserve">outside</w:t>
      </w:r>
      <w:r>
        <w:rPr>
          <w:i/>
          <w:iCs/>
        </w:rPr>
        <w:t xml:space="preserve"> the MLRs, keep Option 8B and delete Option 8A.</w:t>
      </w:r>
    </w:p>
    <w:p>
      <w:pPr>
        <w:pStyle w:val="Heading20"/>
        <w:outlineLvl w:val="0"/>
      </w:pPr>
      <w:r>
        <w:t xml:space="preserve">1. Purpose and scope</w:t>
      </w:r>
    </w:p>
    <w:p>
      <w:r>
        <w:t xml:space="preserve">This policy sets out how </w:t>
      </w:r>
      <w:r>
        <w:rPr>
          <w:b/>
          <w:bCs/>
          <w:highlight w:val="yellow"/>
        </w:rPr>
        <w:t xml:space="preserve">[Insert firm legal name]</w:t>
      </w:r>
      <w:r>
        <w:t xml:space="preserve"> (“we”, “us”, “the firm”) prevents its business from being used for money laundering, terrorist financing, proliferation financing, sanctions evasion, fraud, bribery and other financial crime, and how it meets its legal and regulatory obligations in those areas.</w:t>
      </w:r>
    </w:p>
    <w:p>
      <w:r>
        <w:t xml:space="preserve">It applies to all of our directors, employees, temporary staff and contractors </w:t>
      </w:r>
      <w:r>
        <w:rPr>
          <w:b/>
          <w:bCs/>
          <w:highlight w:val="yellow"/>
        </w:rPr>
        <w:t xml:space="preserve">[and appointed representatives – delete if you have none]</w:t>
      </w:r>
      <w:r>
        <w:t xml:space="preserve"> who take part in any regulated or customer-facing activity, handle payments or customer information, or deal with third parties on our behalf.</w:t>
      </w:r>
    </w:p>
    <w:p>
      <w:r>
        <w:t xml:space="preserve">Our regulated activities are: </w:t>
      </w:r>
      <w:r>
        <w:rPr>
          <w:b/>
          <w:bCs/>
          <w:highlight w:val="yellow"/>
        </w:rPr>
        <w:t xml:space="preserve">[Specify the regulated activities / permissions your firm holds or is applying for]</w:t>
      </w:r>
      <w:r>
        <w:t xml:space="preserve">.</w:t>
      </w:r>
    </w:p>
    <w:p>
      <w:r>
        <w:rPr>
          <w:b/>
          <w:bCs/>
        </w:rPr>
        <w:t xml:space="preserve">1.1 Legal and regulatory framework.</w:t>
      </w:r>
      <w:r>
        <w:t xml:space="preserve"> This policy is written to meet:</w:t>
      </w:r>
    </w:p>
    <w:p>
      <w:pPr>
        <w:numPr>
          <w:ilvl w:val="0"/>
          <w:numId w:val="1"/>
        </w:numPr>
      </w:pPr>
      <w:r>
        <w:t xml:space="preserve">the Proceeds of Crime Act 2002 (POCA), which creates the principal money laundering offences and the reporting and “tipping off” regime;</w:t>
      </w:r>
    </w:p>
    <w:p>
      <w:pPr>
        <w:numPr>
          <w:ilvl w:val="0"/>
          <w:numId w:val="1"/>
        </w:numPr>
      </w:pPr>
      <w:r>
        <w:t xml:space="preserve">the Terrorism Act 2000, which creates the terrorist financing offences and reporting obligations;</w:t>
      </w:r>
    </w:p>
    <w:p>
      <w:pPr>
        <w:numPr>
          <w:ilvl w:val="0"/>
          <w:numId w:val="1"/>
        </w:numPr>
      </w:pPr>
      <w:r>
        <w:t xml:space="preserve">the Sanctions and Anti-Money Laundering Act 2018 and the UK sanctions regulations made under it, together with guidance from the Office of Financial Sanctions Implementation (OFSI);</w:t>
      </w:r>
    </w:p>
    <w:p>
      <w:pPr>
        <w:numPr>
          <w:ilvl w:val="0"/>
          <w:numId w:val="1"/>
        </w:numPr>
      </w:pPr>
      <w:r>
        <w:t xml:space="preserve">where they apply to us (see section 2), the Money Laundering, Terrorist Financing and Transfer of Funds (Information on the Payer) Regulations 2017 as amended, most recently by the Money Laundering and Terrorist Financing (Amendment) Regulations 2026 (SI 2026/621), most of which came into force on 30 June 2026 (the “MLRs”);</w:t>
      </w:r>
    </w:p>
    <w:p>
      <w:pPr>
        <w:numPr>
          <w:ilvl w:val="0"/>
          <w:numId w:val="1"/>
        </w:numPr>
      </w:pPr>
      <w:r>
        <w:t xml:space="preserve">the Bribery Act 2010 (including the corporate offence of failing to prevent bribery) and the Criminal Finances Act 2017 (including the corporate offence of failing to prevent the facilitation of tax evasion);</w:t>
      </w:r>
    </w:p>
    <w:p>
      <w:pPr>
        <w:numPr>
          <w:ilvl w:val="0"/>
          <w:numId w:val="1"/>
        </w:numPr>
      </w:pPr>
      <w:r>
        <w:t xml:space="preserve">the FCA Handbook, in particular SYSC 6.1.1R (which requires every firm to have policies and procedures to counter the risk that it might be used to further financial crime), SYSC 6.3 (financial crime systems and controls, where it applies to us), and the Principles for Businesses;</w:t>
      </w:r>
    </w:p>
    <w:p>
      <w:pPr>
        <w:numPr>
          <w:ilvl w:val="0"/>
          <w:numId w:val="1"/>
        </w:numPr>
      </w:pPr>
      <w:r>
        <w:t xml:space="preserve">the FCA’s Financial Crime Guide (FCG) and, where relevant to our sector, the HM Treasury-approved guidance of the Joint Money Laundering Steering Group (JMLSG).</w:t>
      </w:r>
    </w:p>
    <w:p>
      <w:r>
        <w:rPr>
          <w:b/>
          <w:bCs/>
        </w:rPr>
        <w:t xml:space="preserve">1.2 Related documents.</w:t>
      </w:r>
      <w:r>
        <w:t xml:space="preserve"> This policy should be read with our Customer Due Diligence Policy, Compliance Monitoring Plan, Customer Vulnerability Policy, Training and Competence Policy and Data Processing Policy. It is supported by the registers listed in section 13, which must be kept from our first day of trading.</w:t>
      </w:r>
    </w:p>
    <w:p>
      <w:pPr>
        <w:pStyle w:val="Heading20"/>
        <w:outlineLvl w:val="0"/>
      </w:pPr>
      <w:r>
        <w:t xml:space="preserve">2. Does the MLRs regime apply to us?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Keep the option(s) that match your permissions and delete the rest. Each option states whether the MLRs apply to that activity, the main financial crime risks, and the specific controls you need. If you are unsure, take advice before you submit your application – an incorrect statement about MLR scope is a significant weakness in an authorisation application.</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the credit broking permission. Otherwise DELETE everything from this START banner down to and including the matching END OF OPTION 2A banner. Each option is self-contained, so nothing else in the document needs to change.]</w:t>
      </w:r>
    </w:p>
    <w:p>
      <w:r>
        <w:rPr>
          <w:b/>
          <w:bCs/>
        </w:rPr>
        <w:t xml:space="preserve">2A.1 MLR position.</w:t>
      </w:r>
      <w:r>
        <w:t xml:space="preserve"> Credit broking is </w:t>
      </w:r>
      <w:r>
        <w:rPr>
          <w:b/>
          <w:bCs/>
        </w:rPr>
        <w:t xml:space="preserve">not</w:t>
      </w:r>
      <w:r>
        <w:t xml:space="preserve"> an activity that brings a firm within the MLRs, so a firm whose only regulated activity is credit broking is not a “relevant person” under the MLRs. The lenders we introduce customers to are generally within the MLRs and carry out their own customer due diligence. We remain subject to POCA, the Terrorism Act 2000, UK sanctions law, and SYSC 6.1.1R, which requires us to counter the risk that we are used to further financial crime.</w:t>
      </w:r>
    </w:p>
    <w:p>
      <w:r>
        <w:rPr>
          <w:b/>
          <w:bCs/>
        </w:rPr>
        <w:t xml:space="preserve">2A.2 Our main risks.</w:t>
      </w:r>
      <w:r>
        <w:t xml:space="preserve"> As a credit broker our principal financial crime risks are:</w:t>
      </w:r>
    </w:p>
    <w:p>
      <w:pPr>
        <w:numPr>
          <w:ilvl w:val="0"/>
          <w:numId w:val="1"/>
        </w:numPr>
      </w:pPr>
      <w:r>
        <w:rPr>
          <w:b/>
          <w:bCs/>
        </w:rPr>
        <w:t xml:space="preserve">application fraud</w:t>
      </w:r>
      <w:r>
        <w:t xml:space="preserve"> – customers or third parties submitting false identity, income, employment or address information to obtain credit, sometimes with staff or introducer involvement;</w:t>
      </w:r>
    </w:p>
    <w:p>
      <w:pPr>
        <w:numPr>
          <w:ilvl w:val="0"/>
          <w:numId w:val="1"/>
        </w:numPr>
      </w:pPr>
      <w:r>
        <w:rPr>
          <w:b/>
          <w:bCs/>
        </w:rPr>
        <w:t xml:space="preserve">identity fraud and impersonation</w:t>
      </w:r>
      <w:r>
        <w:t xml:space="preserve">, including the use of stolen or synthetic identities;</w:t>
      </w:r>
    </w:p>
    <w:p>
      <w:pPr>
        <w:numPr>
          <w:ilvl w:val="0"/>
          <w:numId w:val="1"/>
        </w:numPr>
      </w:pPr>
      <w:r>
        <w:rPr>
          <w:b/>
          <w:bCs/>
        </w:rPr>
        <w:t xml:space="preserve">third-party funding</w:t>
      </w:r>
      <w:r>
        <w:t xml:space="preserve"> of deposits or purchases that could be used to launder the proceeds of crime (particularly where we also sell goods or services, for example as a retailer);</w:t>
      </w:r>
    </w:p>
    <w:p>
      <w:pPr>
        <w:numPr>
          <w:ilvl w:val="0"/>
          <w:numId w:val="1"/>
        </w:numPr>
      </w:pPr>
      <w:r>
        <w:rPr>
          <w:b/>
          <w:bCs/>
        </w:rPr>
        <w:t xml:space="preserve">introducer and staff misconduct</w:t>
      </w:r>
      <w:r>
        <w:t xml:space="preserve">, such as falsifying applications to earn commission.</w:t>
      </w:r>
    </w:p>
    <w:p>
      <w:r>
        <w:rPr>
          <w:b/>
          <w:bCs/>
        </w:rPr>
        <w:t xml:space="preserve">2A.3 Our controls.</w:t>
      </w:r>
      <w:r>
        <w:t xml:space="preserve"> We verify each customer’s identity before submitting any application; we never alter or embellish information customers give us; we challenge information that appears inconsistent; we monitor applications for fraud indicators; we screen customers against the UK sanctions list; and we report suspicions to the MLRO. </w:t>
      </w:r>
      <w:r>
        <w:rPr>
          <w:b/>
          <w:bCs/>
          <w:highlight w:val="yellow"/>
        </w:rPr>
        <w:t xml:space="preserve">[If you also accept cash or card payments for goods or services, describe your limits on cash and your checks on third-party payments here.]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adjusting and/or debt counselling (including debt management plans). Otherwise DELETE everything from this START banner down to and including the matching END OF OPTION 2B banner. Each option is self-contained, so nothing else in the document needs to change.]</w:t>
      </w:r>
    </w:p>
    <w:p>
      <w:r>
        <w:rPr>
          <w:b/>
          <w:bCs/>
        </w:rPr>
        <w:t xml:space="preserve">2B.1 MLR position.</w:t>
      </w:r>
      <w:r>
        <w:t xml:space="preserve"> Debt adjusting and debt counselling are </w:t>
      </w:r>
      <w:r>
        <w:rPr>
          <w:b/>
          <w:bCs/>
        </w:rPr>
        <w:t xml:space="preserve">not</w:t>
      </w:r>
      <w:r>
        <w:t xml:space="preserve"> activities that bring a firm within the MLRs. We remain subject to POCA, the Terrorism Act 2000, UK sanctions law and SYSC 6.1.1R.</w:t>
      </w:r>
    </w:p>
    <w:p>
      <w:r>
        <w:rPr>
          <w:b/>
          <w:bCs/>
        </w:rPr>
        <w:t xml:space="preserve">2B.2 Our main risks.</w:t>
      </w:r>
      <w:r>
        <w:t xml:space="preserve"> Our principal risks are:</w:t>
      </w:r>
    </w:p>
    <w:p>
      <w:pPr>
        <w:numPr>
          <w:ilvl w:val="0"/>
          <w:numId w:val="1"/>
        </w:numPr>
      </w:pPr>
      <w:r>
        <w:rPr>
          <w:b/>
          <w:bCs/>
        </w:rPr>
        <w:t xml:space="preserve">client money misuse or theft</w:t>
      </w:r>
      <w:r>
        <w:t xml:space="preserve"> – where we receive customers’ payments and distribute them to creditors, that money could be misappropriated or used to move criminal funds;</w:t>
      </w:r>
    </w:p>
    <w:p>
      <w:pPr>
        <w:numPr>
          <w:ilvl w:val="0"/>
          <w:numId w:val="1"/>
        </w:numPr>
      </w:pPr>
      <w:r>
        <w:rPr>
          <w:b/>
          <w:bCs/>
        </w:rPr>
        <w:t xml:space="preserve">payments from third parties</w:t>
      </w:r>
      <w:r>
        <w:t xml:space="preserve"> into a customer’s plan that are inconsistent with the customer’s declared circumstances;</w:t>
      </w:r>
    </w:p>
    <w:p>
      <w:pPr>
        <w:numPr>
          <w:ilvl w:val="0"/>
          <w:numId w:val="1"/>
        </w:numPr>
      </w:pPr>
      <w:r>
        <w:rPr>
          <w:b/>
          <w:bCs/>
        </w:rPr>
        <w:t xml:space="preserve">identity and application fraud</w:t>
      </w:r>
      <w:r>
        <w:t xml:space="preserve">, for example customers entering a debt solution using false details to evade creditors;</w:t>
      </w:r>
    </w:p>
    <w:p>
      <w:pPr>
        <w:numPr>
          <w:ilvl w:val="0"/>
          <w:numId w:val="1"/>
        </w:numPr>
      </w:pPr>
      <w:r>
        <w:rPr>
          <w:b/>
          <w:bCs/>
        </w:rPr>
        <w:t xml:space="preserve">customers being exploited or coerced</w:t>
      </w:r>
      <w:r>
        <w:t xml:space="preserve"> (for example economic abuse) into arrangements they do not understand.</w:t>
      </w:r>
    </w:p>
    <w:p>
      <w:r>
        <w:rPr>
          <w:b/>
          <w:bCs/>
        </w:rPr>
        <w:t xml:space="preserve">2B.3 Our controls.</w:t>
      </w:r>
      <w:r>
        <w:t xml:space="preserve"> We verify customer identity at onboarding; we hold client money in designated client bank accounts and reconcile it as CASS 11 requires; we check that incoming payments come from the customer or an explained third party; we are alert to signs of coercion; we screen customers against the UK sanctions list; and we report suspicions to the MLRO.</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collecting and/or debt administration. Otherwise DELETE everything from this START banner down to and including the matching END OF OPTION 2C banner. Each option is self-contained, so nothing else in the document needs to change.]</w:t>
      </w:r>
    </w:p>
    <w:p>
      <w:r>
        <w:rPr>
          <w:b/>
          <w:bCs/>
        </w:rPr>
        <w:t xml:space="preserve">2C.1 MLR position.</w:t>
      </w:r>
      <w:r>
        <w:t xml:space="preserve"> Debt collecting and debt administration are </w:t>
      </w:r>
      <w:r>
        <w:rPr>
          <w:b/>
          <w:bCs/>
        </w:rPr>
        <w:t xml:space="preserve">not</w:t>
      </w:r>
      <w:r>
        <w:t xml:space="preserve"> activities that bring a firm within the MLRs. We remain subject to POCA, the Terrorism Act 2000, UK sanctions law and SYSC 6.1.1R.</w:t>
      </w:r>
    </w:p>
    <w:p>
      <w:r>
        <w:rPr>
          <w:b/>
          <w:bCs/>
        </w:rPr>
        <w:t xml:space="preserve">2C.2 Our main risks.</w:t>
      </w:r>
      <w:r>
        <w:t xml:space="preserve"> Our principal risks are:</w:t>
      </w:r>
    </w:p>
    <w:p>
      <w:pPr>
        <w:numPr>
          <w:ilvl w:val="0"/>
          <w:numId w:val="1"/>
        </w:numPr>
      </w:pPr>
      <w:r>
        <w:rPr>
          <w:b/>
          <w:bCs/>
        </w:rPr>
        <w:t xml:space="preserve">payments from unexplained third parties</w:t>
      </w:r>
      <w:r>
        <w:t xml:space="preserve"> – settlement of debts using funds that may be the proceeds of crime, particularly large or lump-sum settlements;</w:t>
      </w:r>
    </w:p>
    <w:p>
      <w:pPr>
        <w:numPr>
          <w:ilvl w:val="0"/>
          <w:numId w:val="1"/>
        </w:numPr>
      </w:pPr>
      <w:r>
        <w:rPr>
          <w:b/>
          <w:bCs/>
        </w:rPr>
        <w:t xml:space="preserve">overpayments and refund requests</w:t>
      </w:r>
      <w:r>
        <w:t xml:space="preserve"> – a known method of “cleaning” money by paying in more than is owed and requesting a refund to a different account;</w:t>
      </w:r>
    </w:p>
    <w:p>
      <w:pPr>
        <w:numPr>
          <w:ilvl w:val="0"/>
          <w:numId w:val="1"/>
        </w:numPr>
      </w:pPr>
      <w:r>
        <w:rPr>
          <w:b/>
          <w:bCs/>
        </w:rPr>
        <w:t xml:space="preserve">impersonation</w:t>
      </w:r>
      <w:r>
        <w:t xml:space="preserve"> – callers pretending to be the debtor to obtain information, or fraudsters impersonating our firm to extract payments from customers;</w:t>
      </w:r>
    </w:p>
    <w:p>
      <w:pPr>
        <w:numPr>
          <w:ilvl w:val="0"/>
          <w:numId w:val="1"/>
        </w:numPr>
      </w:pPr>
      <w:r>
        <w:rPr>
          <w:b/>
          <w:bCs/>
        </w:rPr>
        <w:t xml:space="preserve">misappropriation</w:t>
      </w:r>
      <w:r>
        <w:t xml:space="preserve"> of collected funds before they are passed to our clients.</w:t>
      </w:r>
    </w:p>
    <w:p>
      <w:r>
        <w:rPr>
          <w:b/>
          <w:bCs/>
        </w:rPr>
        <w:t xml:space="preserve">2C.3 Our controls.</w:t>
      </w:r>
      <w:r>
        <w:t xml:space="preserve"> We verify the identity of anyone we discuss a debt with; we record who makes each payment and query unexplained third-party or unusually large payments; we refund overpayments only to the original payment source; we reconcile collections to client remittances </w:t>
      </w:r>
      <w:r>
        <w:rPr>
          <w:b/>
          <w:bCs/>
          <w:highlight w:val="yellow"/>
        </w:rPr>
        <w:t xml:space="preserve">[Insert frequency]</w:t>
      </w:r>
      <w:r>
        <w:t xml:space="preserve">; we screen against the UK sanctions list; and we report suspicions to the MLRO.</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credit information services and/or credit references. Otherwise DELETE everything from this START banner down to and including the matching END OF OPTION 2D banner. Each option is self-contained, so nothing else in the document needs to change.]</w:t>
      </w:r>
    </w:p>
    <w:p>
      <w:r>
        <w:rPr>
          <w:b/>
          <w:bCs/>
        </w:rPr>
        <w:t xml:space="preserve">2D.1 MLR position.</w:t>
      </w:r>
      <w:r>
        <w:t xml:space="preserve"> Providing credit information services and providing credit references are </w:t>
      </w:r>
      <w:r>
        <w:rPr>
          <w:b/>
          <w:bCs/>
        </w:rPr>
        <w:t xml:space="preserve">not</w:t>
      </w:r>
      <w:r>
        <w:t xml:space="preserve"> activities that bring a firm within the MLRs (credit reference services are specifically outside the list of lending-related activities the MLRs cover). We remain subject to POCA, the Terrorism Act 2000, UK sanctions law and SYSC 6.1.1R.</w:t>
      </w:r>
    </w:p>
    <w:p>
      <w:r>
        <w:rPr>
          <w:b/>
          <w:bCs/>
        </w:rPr>
        <w:t xml:space="preserve">2D.2 Our main risks.</w:t>
      </w:r>
      <w:r>
        <w:t xml:space="preserve"> Our principal risks relate to information rather than money:</w:t>
      </w:r>
    </w:p>
    <w:p>
      <w:pPr>
        <w:numPr>
          <w:ilvl w:val="0"/>
          <w:numId w:val="1"/>
        </w:numPr>
      </w:pPr>
      <w:r>
        <w:rPr>
          <w:b/>
          <w:bCs/>
        </w:rPr>
        <w:t xml:space="preserve">identity theft</w:t>
      </w:r>
      <w:r>
        <w:t xml:space="preserve"> – criminals obtaining a person’s credit information to commit fraud in their name;</w:t>
      </w:r>
    </w:p>
    <w:p>
      <w:pPr>
        <w:numPr>
          <w:ilvl w:val="0"/>
          <w:numId w:val="1"/>
        </w:numPr>
      </w:pPr>
      <w:r>
        <w:rPr>
          <w:b/>
          <w:bCs/>
        </w:rPr>
        <w:t xml:space="preserve">data manipulation</w:t>
      </w:r>
      <w:r>
        <w:t xml:space="preserve"> – attempts to have accurate adverse information removed or altered (for example so-called “credit repair” fraud);</w:t>
      </w:r>
    </w:p>
    <w:p>
      <w:pPr>
        <w:numPr>
          <w:ilvl w:val="0"/>
          <w:numId w:val="1"/>
        </w:numPr>
      </w:pPr>
      <w:r>
        <w:rPr>
          <w:b/>
          <w:bCs/>
        </w:rPr>
        <w:t xml:space="preserve">insider misuse</w:t>
      </w:r>
      <w:r>
        <w:t xml:space="preserve"> of the data we hold.</w:t>
      </w:r>
    </w:p>
    <w:p>
      <w:r>
        <w:rPr>
          <w:b/>
          <w:bCs/>
        </w:rPr>
        <w:t xml:space="preserve">2D.3 Our controls.</w:t>
      </w:r>
      <w:r>
        <w:t xml:space="preserve"> We verify identity robustly before giving anyone access to credit information; we apply strict role-based access controls and audit logs to data; we require evidence before correcting records; and we report suspected fraud to the MLRO and, where appropriate, to fraud prevention agencies and law enforcement.</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operates, or is applying to operate, an electronic system in relation to lending (a peer-to-peer or loan-based crowdfunding platform). Otherwise DELETE everything from this START banner down to and including the matching END OF OPTION 2E banner. Each option is self-contained, so nothing else in the document needs to change.]</w:t>
      </w:r>
    </w:p>
    <w:p>
      <w:r>
        <w:rPr>
          <w:b/>
          <w:bCs/>
        </w:rPr>
        <w:t xml:space="preserve">2E.1 MLR position.</w:t>
      </w:r>
      <w:r>
        <w:t xml:space="preserve"> Whether the MLRs apply to a peer-to-peer platform as a matter of law depends on how it is structured – for example whether the platform itself lends, provides payment services, or carries on other investment activities that bring it within the MLRs. Because investors and borrowers both transfer money through the platform, and because banks providing our accounts will expect it, </w:t>
      </w:r>
      <w:r>
        <w:rPr>
          <w:b/>
          <w:bCs/>
        </w:rPr>
        <w:t xml:space="preserve">we apply the full MLR standard of customer due diligence, monitoring and reporting to both investors and borrowers</w:t>
      </w:r>
      <w:r>
        <w:t xml:space="preserve">, and this policy treats us as within scope. </w:t>
      </w:r>
      <w:r>
        <w:rPr>
          <w:b/>
          <w:bCs/>
          <w:highlight w:val="yellow"/>
        </w:rPr>
        <w:t xml:space="preserve">[Confirm with your legal adviser whether your platform is a “relevant person” under the MLRs, and state the basis here.]</w:t>
      </w:r>
    </w:p>
    <w:p>
      <w:r>
        <w:rPr>
          <w:b/>
          <w:bCs/>
        </w:rPr>
        <w:t xml:space="preserve">2E.2 Our main risks.</w:t>
      </w:r>
      <w:r>
        <w:t xml:space="preserve"> Our principal risks are:</w:t>
      </w:r>
    </w:p>
    <w:p>
      <w:pPr>
        <w:numPr>
          <w:ilvl w:val="0"/>
          <w:numId w:val="1"/>
        </w:numPr>
      </w:pPr>
      <w:r>
        <w:rPr>
          <w:b/>
          <w:bCs/>
        </w:rPr>
        <w:t xml:space="preserve">investor funds</w:t>
      </w:r>
      <w:r>
        <w:t xml:space="preserve"> derived from crime being placed on the platform and withdrawn as “clean” loan repayments;</w:t>
      </w:r>
    </w:p>
    <w:p>
      <w:pPr>
        <w:numPr>
          <w:ilvl w:val="0"/>
          <w:numId w:val="1"/>
        </w:numPr>
      </w:pPr>
      <w:r>
        <w:rPr>
          <w:b/>
          <w:bCs/>
        </w:rPr>
        <w:t xml:space="preserve">borrower fraud</w:t>
      </w:r>
      <w:r>
        <w:t xml:space="preserve">, including false identities, false business information and fraudulent use of loan proceeds;</w:t>
      </w:r>
    </w:p>
    <w:p>
      <w:pPr>
        <w:numPr>
          <w:ilvl w:val="0"/>
          <w:numId w:val="1"/>
        </w:numPr>
      </w:pPr>
      <w:r>
        <w:rPr>
          <w:b/>
          <w:bCs/>
        </w:rPr>
        <w:t xml:space="preserve">collusion</w:t>
      </w:r>
      <w:r>
        <w:t xml:space="preserve"> between an investor and a borrower to move funds disguised as a loan;</w:t>
      </w:r>
    </w:p>
    <w:p>
      <w:pPr>
        <w:numPr>
          <w:ilvl w:val="0"/>
          <w:numId w:val="1"/>
        </w:numPr>
      </w:pPr>
      <w:r>
        <w:rPr>
          <w:b/>
          <w:bCs/>
        </w:rPr>
        <w:t xml:space="preserve">pooled client accounts</w:t>
      </w:r>
      <w:r>
        <w:t xml:space="preserve"> being used to obscure the source of funds.</w:t>
      </w:r>
    </w:p>
    <w:p>
      <w:r>
        <w:rPr>
          <w:b/>
          <w:bCs/>
        </w:rPr>
        <w:t xml:space="preserve">2E.3 Our controls.</w:t>
      </w:r>
      <w:r>
        <w:t xml:space="preserve"> We carry out customer due diligence on all investors and borrowers before they can transact; we check the source of funds for larger investments </w:t>
      </w:r>
      <w:r>
        <w:rPr>
          <w:b/>
          <w:bCs/>
          <w:highlight w:val="yellow"/>
        </w:rPr>
        <w:t xml:space="preserve">[Insert threshold]</w:t>
      </w:r>
      <w:r>
        <w:t xml:space="preserve">; we only pay withdrawals to accounts in the investor’s own name; we monitor for circular or linked transactions between investors and borrowers; we screen all users against the UK sanctions list; and we report suspicions to the MLRO.</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enters into, or is applying to enter into, regulated credit agreements as lender (including deferred payment credit / “buy now, pay later”). Otherwise DELETE everything from this START banner down to and including the matching END OF OPTION 2F banner. Each option is self-contained, so nothing else in the document needs to change.]</w:t>
      </w:r>
    </w:p>
    <w:p>
      <w:r>
        <w:rPr>
          <w:b/>
          <w:bCs/>
        </w:rPr>
        <w:t xml:space="preserve">2F.1 MLR position.</w:t>
      </w:r>
      <w:r>
        <w:t xml:space="preserve"> Lending, including consumer credit, </w:t>
      </w:r>
      <w:r>
        <w:rPr>
          <w:b/>
          <w:bCs/>
        </w:rPr>
        <w:t xml:space="preserve">is</w:t>
      </w:r>
      <w:r>
        <w:t xml:space="preserve"> an activity within the MLRs. As a lender we are a “relevant person” and must comply with the MLRs in full, including customer due diligence, a written business-wide risk assessment, policies, controls and procedures, record-keeping, training and a nominated officer. SYSC 6.3 also applies to us.</w:t>
      </w:r>
    </w:p>
    <w:p>
      <w:r>
        <w:rPr>
          <w:b/>
          <w:bCs/>
        </w:rPr>
        <w:t xml:space="preserve">2F.2 Our main risks.</w:t>
      </w:r>
      <w:r>
        <w:t xml:space="preserve"> Our principal risks are:</w:t>
      </w:r>
    </w:p>
    <w:p>
      <w:pPr>
        <w:numPr>
          <w:ilvl w:val="0"/>
          <w:numId w:val="1"/>
        </w:numPr>
      </w:pPr>
      <w:r>
        <w:rPr>
          <w:b/>
          <w:bCs/>
        </w:rPr>
        <w:t xml:space="preserve">loan-back and early settlement schemes</w:t>
      </w:r>
      <w:r>
        <w:t xml:space="preserve"> – borrowing and then repaying early with criminal funds to create a legitimate-looking source;</w:t>
      </w:r>
    </w:p>
    <w:p>
      <w:pPr>
        <w:numPr>
          <w:ilvl w:val="0"/>
          <w:numId w:val="1"/>
        </w:numPr>
      </w:pPr>
      <w:r>
        <w:rPr>
          <w:b/>
          <w:bCs/>
        </w:rPr>
        <w:t xml:space="preserve">identity and application fraud</w:t>
      </w:r>
      <w:r>
        <w:t xml:space="preserve">, including synthetic identities and “money mules”;</w:t>
      </w:r>
    </w:p>
    <w:p>
      <w:pPr>
        <w:numPr>
          <w:ilvl w:val="0"/>
          <w:numId w:val="1"/>
        </w:numPr>
      </w:pPr>
      <w:r>
        <w:rPr>
          <w:b/>
          <w:bCs/>
        </w:rPr>
        <w:t xml:space="preserve">overpayments and refunds</w:t>
      </w:r>
      <w:r>
        <w:t xml:space="preserve"> to accounts other than the one the money came from;</w:t>
      </w:r>
    </w:p>
    <w:p>
      <w:pPr>
        <w:numPr>
          <w:ilvl w:val="0"/>
          <w:numId w:val="1"/>
        </w:numPr>
      </w:pPr>
      <w:r>
        <w:rPr>
          <w:b/>
          <w:bCs/>
        </w:rPr>
        <w:t xml:space="preserve">merchant or broker fraud</w:t>
      </w:r>
      <w:r>
        <w:t xml:space="preserve"> where credit is introduced through third parties, including point-of-sale and deferred payment credit.</w:t>
      </w:r>
    </w:p>
    <w:p>
      <w:r>
        <w:rPr>
          <w:b/>
          <w:bCs/>
        </w:rPr>
        <w:t xml:space="preserve">2F.3 Our controls.</w:t>
      </w:r>
      <w:r>
        <w:t xml:space="preserve"> We carry out customer due diligence before entering into each agreement; we monitor for early or lump-sum settlement and unexplained third-party payments; we refund only to the original payment source unless there is a verified reason; we carry out due diligence on and monitor the brokers and merchants who introduce customers; we screen against the UK sanctions list; and we report suspicions to our nominated officer.</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exercises, or has the right to exercise, the lender’s rights and duties under regulated credit agreements (for example as a debt purchaser or owner of a loan book). Otherwise DELETE everything from this START banner down to and including the matching END OF OPTION 2G banner. Each option is self-contained, so nothing else in the document needs to change.]</w:t>
      </w:r>
    </w:p>
    <w:p>
      <w:r>
        <w:rPr>
          <w:b/>
          <w:bCs/>
        </w:rPr>
        <w:t xml:space="preserve">2G.1 MLR position.</w:t>
      </w:r>
      <w:r>
        <w:t xml:space="preserve"> Whether the MLRs apply to us depends on our business model. If we also lend, we are within the MLRs. If we only acquire and manage existing credit agreements, whether we are a “relevant person” should be confirmed by legal advice. </w:t>
      </w:r>
      <w:r>
        <w:rPr>
          <w:b/>
          <w:bCs/>
          <w:highlight w:val="yellow"/>
        </w:rPr>
        <w:t xml:space="preserve">[State your firm’s position and the basis for it here.]</w:t>
      </w:r>
      <w:r>
        <w:t xml:space="preserve"> Either way we remain subject to POCA, the Terrorism Act 2000, UK sanctions law and SYSC 6.1.1R, and we apply risk-based due diligence to the customers whose agreements we hold.</w:t>
      </w:r>
    </w:p>
    <w:p>
      <w:r>
        <w:rPr>
          <w:b/>
          <w:bCs/>
        </w:rPr>
        <w:t xml:space="preserve">2G.2 Our main risks.</w:t>
      </w:r>
      <w:r>
        <w:t xml:space="preserve"> Our principal risks are:</w:t>
      </w:r>
    </w:p>
    <w:p>
      <w:pPr>
        <w:numPr>
          <w:ilvl w:val="0"/>
          <w:numId w:val="1"/>
        </w:numPr>
      </w:pPr>
      <w:r>
        <w:rPr>
          <w:b/>
          <w:bCs/>
        </w:rPr>
        <w:t xml:space="preserve">inherited risk</w:t>
      </w:r>
      <w:r>
        <w:t xml:space="preserve"> – the original lender’s customer due diligence may be incomplete or out of date;</w:t>
      </w:r>
    </w:p>
    <w:p>
      <w:pPr>
        <w:numPr>
          <w:ilvl w:val="0"/>
          <w:numId w:val="1"/>
        </w:numPr>
      </w:pPr>
      <w:r>
        <w:rPr>
          <w:b/>
          <w:bCs/>
        </w:rPr>
        <w:t xml:space="preserve">settlement of debts</w:t>
      </w:r>
      <w:r>
        <w:t xml:space="preserve"> with funds of unexplained origin, especially large or lump-sum settlements;</w:t>
      </w:r>
    </w:p>
    <w:p>
      <w:pPr>
        <w:numPr>
          <w:ilvl w:val="0"/>
          <w:numId w:val="1"/>
        </w:numPr>
      </w:pPr>
      <w:r>
        <w:rPr>
          <w:b/>
          <w:bCs/>
        </w:rPr>
        <w:t xml:space="preserve">overpayment and refund</w:t>
      </w:r>
      <w:r>
        <w:t xml:space="preserve"> schemes;</w:t>
      </w:r>
    </w:p>
    <w:p>
      <w:pPr>
        <w:numPr>
          <w:ilvl w:val="0"/>
          <w:numId w:val="1"/>
        </w:numPr>
      </w:pPr>
      <w:r>
        <w:rPr>
          <w:b/>
          <w:bCs/>
        </w:rPr>
        <w:t xml:space="preserve">the sellers</w:t>
      </w:r>
      <w:r>
        <w:t xml:space="preserve"> of the portfolios we buy.</w:t>
      </w:r>
    </w:p>
    <w:p>
      <w:r>
        <w:rPr>
          <w:b/>
          <w:bCs/>
        </w:rPr>
        <w:t xml:space="preserve">2G.3 Our controls.</w:t>
      </w:r>
      <w:r>
        <w:t xml:space="preserve"> We carry out due diligence on each portfolio and its seller before purchase, including the quality of the seller’s customer records; we refresh customer information where it is missing or unreliable; we query unexplained settlements; we refund only to the original payment source; we screen against the UK sanctions list; and we report suspicions to the MLRO.</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hires out goods under regulated consumer hire agreements, or is applying to do so. Otherwise DELETE everything from this START banner down to and including the matching END OF OPTION 2H banner. Each option is self-contained, so nothing else in the document needs to change.]</w:t>
      </w:r>
    </w:p>
    <w:p>
      <w:r>
        <w:rPr>
          <w:b/>
          <w:bCs/>
        </w:rPr>
        <w:t xml:space="preserve">2H.1 MLR position.</w:t>
      </w:r>
      <w:r>
        <w:t xml:space="preserve"> Consumer hire (where ownership of the goods does not pass to the customer) is generally </w:t>
      </w:r>
      <w:r>
        <w:rPr>
          <w:b/>
          <w:bCs/>
        </w:rPr>
        <w:t xml:space="preserve">not</w:t>
      </w:r>
      <w:r>
        <w:t xml:space="preserve"> an activity that brings a firm within the MLRs. However, “financial leasing” is within scope, so if any of our agreements transfer substantially all the risks and rewards of ownership to the customer, we should take legal advice on whether the MLRs apply. </w:t>
      </w:r>
      <w:r>
        <w:rPr>
          <w:b/>
          <w:bCs/>
          <w:highlight w:val="yellow"/>
        </w:rPr>
        <w:t xml:space="preserve">[State your firm’s position here.]</w:t>
      </w:r>
      <w:r>
        <w:t xml:space="preserve"> We remain subject to POCA, the Terrorism Act 2000, UK sanctions law and SYSC 6.1.1R.</w:t>
      </w:r>
    </w:p>
    <w:p>
      <w:r>
        <w:rPr>
          <w:b/>
          <w:bCs/>
        </w:rPr>
        <w:t xml:space="preserve">2H.2 Our main risks.</w:t>
      </w:r>
      <w:r>
        <w:t xml:space="preserve"> Our principal risks are: identity fraud to obtain high-value goods; hire of goods for onward sale or export; large up-front or lump-sum payments from unexplained sources; and overpayments followed by refund requests.</w:t>
      </w:r>
    </w:p>
    <w:p>
      <w:r>
        <w:rPr>
          <w:b/>
          <w:bCs/>
        </w:rPr>
        <w:t xml:space="preserve">2H.3 Our controls.</w:t>
      </w:r>
      <w:r>
        <w:t xml:space="preserve"> We verify each customer’s identity before goods are released; we record who makes each payment and query unexplained third-party or unusually large payments; we refund only to the original payment source; we screen against the UK sanctions list; and we report suspicions to the MLRO.</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insurance distribution. Otherwise DELETE everything from this START banner down to and including the matching END OF OPTION 2I banner. Each option is self-contained, so nothing else in the document needs to change.]</w:t>
      </w:r>
    </w:p>
    <w:p>
      <w:r>
        <w:rPr>
          <w:b/>
          <w:bCs/>
        </w:rPr>
        <w:t xml:space="preserve">2I.1 MLR position.</w:t>
      </w:r>
      <w:r>
        <w:t xml:space="preserve"> The MLRs apply to insurance distribution </w:t>
      </w:r>
      <w:r>
        <w:rPr>
          <w:b/>
          <w:bCs/>
        </w:rPr>
        <w:t xml:space="preserve">only</w:t>
      </w:r>
      <w:r>
        <w:t xml:space="preserve"> where it relates to life insurance and other investment-related insurance. General insurance intermediaries (for example motor, home, travel, pet, commercial or protection-only business that is not investment-related) are </w:t>
      </w:r>
      <w:r>
        <w:rPr>
          <w:b/>
          <w:bCs/>
        </w:rPr>
        <w:t xml:space="preserve">not</w:t>
      </w:r>
      <w:r>
        <w:t xml:space="preserve"> within the MLRs. </w:t>
      </w:r>
      <w:r>
        <w:rPr>
          <w:b/>
          <w:bCs/>
          <w:highlight w:val="yellow"/>
        </w:rPr>
        <w:t xml:space="preserve">[State which applies to your firm. If you distribute life or investment-related insurance, your firm is within the MLRs and must comply with them in full.]</w:t>
      </w:r>
      <w:r>
        <w:t xml:space="preserve"> Whatever the position, we remain subject to POCA, the Terrorism Act 2000, UK sanctions law and SYSC 6.1.1R.</w:t>
      </w:r>
    </w:p>
    <w:p>
      <w:r>
        <w:rPr>
          <w:b/>
          <w:bCs/>
        </w:rPr>
        <w:t xml:space="preserve">2I.2 Our main risks.</w:t>
      </w:r>
      <w:r>
        <w:t xml:space="preserve"> For general insurance, our principal risks are </w:t>
      </w:r>
      <w:r>
        <w:rPr>
          <w:b/>
          <w:bCs/>
        </w:rPr>
        <w:t xml:space="preserve">claims fraud</w:t>
      </w:r>
      <w:r>
        <w:t xml:space="preserve"> and </w:t>
      </w:r>
      <w:r>
        <w:rPr>
          <w:b/>
          <w:bCs/>
        </w:rPr>
        <w:t xml:space="preserve">premium fraud</w:t>
      </w:r>
      <w:r>
        <w:t xml:space="preserve"> (including “ghost broking” – fraudsters selling fake or invalid policies), premiums paid by unconnected third parties, and early cancellations with refunds requested to a different account. For life and investment-related insurance, risks also include single-premium products funded with criminal proceeds and early surrender.</w:t>
      </w:r>
    </w:p>
    <w:p>
      <w:r>
        <w:rPr>
          <w:b/>
          <w:bCs/>
        </w:rPr>
        <w:t xml:space="preserve">2I.3 Our controls.</w:t>
      </w:r>
      <w:r>
        <w:t xml:space="preserve"> We verify customer identity proportionately; we query premiums paid by unconnected third parties; we pay refunds only to the original payment source; we cooperate with insurers’ fraud investigations; we screen against the UK sanctions list; and we report suspicions to the MLRO.</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regulated mortgage contracts, or is applying to do so. Otherwise DELETE everything from this START banner down to and including the matching END OF OPTION 2J banner. Each option is self-contained, so nothing else in the document needs to change.]</w:t>
      </w:r>
    </w:p>
    <w:p>
      <w:r>
        <w:rPr>
          <w:b/>
          <w:bCs/>
        </w:rPr>
        <w:t xml:space="preserve">2J.1 MLR position.</w:t>
      </w:r>
      <w:r>
        <w:t xml:space="preserve"> Mortgage intermediaries are </w:t>
      </w:r>
      <w:r>
        <w:rPr>
          <w:b/>
          <w:bCs/>
        </w:rPr>
        <w:t xml:space="preserve">not</w:t>
      </w:r>
      <w:r>
        <w:t xml:space="preserve"> within the MLRs. The mortgage lenders we introduce customers to are within the MLRs and carry out their own customer due diligence. We remain subject to POCA, the Terrorism Act 2000, UK sanctions law and SYSC 6.1.1R. </w:t>
      </w:r>
      <w:r>
        <w:rPr>
          <w:b/>
          <w:bCs/>
          <w:highlight w:val="yellow"/>
        </w:rPr>
        <w:t xml:space="preserve">[If your firm also advises on investments or life insurance, it may be within the MLRs because of those activities – check the relevant option.]</w:t>
      </w:r>
    </w:p>
    <w:p>
      <w:r>
        <w:rPr>
          <w:b/>
          <w:bCs/>
        </w:rPr>
        <w:t xml:space="preserve">2J.2 Our main risks.</w:t>
      </w:r>
      <w:r>
        <w:t xml:space="preserve"> Our principal risks are </w:t>
      </w:r>
      <w:r>
        <w:rPr>
          <w:b/>
          <w:bCs/>
        </w:rPr>
        <w:t xml:space="preserve">mortgage fraud</w:t>
      </w:r>
      <w:r>
        <w:t xml:space="preserve"> (false income, employment or deposit information; undisclosed gifted deposits; property value manipulation), deposits funded with the proceeds of crime, the use of property to launder money, and buy-to-let or “back-to-back” transactions arranged to disguise ownership.</w:t>
      </w:r>
    </w:p>
    <w:p>
      <w:r>
        <w:rPr>
          <w:b/>
          <w:bCs/>
        </w:rPr>
        <w:t xml:space="preserve">2J.3 Our controls.</w:t>
      </w:r>
      <w:r>
        <w:t xml:space="preserve"> We verify customer identity; we check income and the source of the deposit and challenge inconsistencies; we never submit information we know or suspect to be false; we disclose all relevant information to lenders; we screen against the UK sanctions list; and we report suspicions to the MLRO.</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payment services (including payment initiation services) or issues electronic money. Otherwise DELETE everything from this START banner down to and including the matching END OF OPTION 2K banner. Each option is self-contained, so nothing else in the document needs to change.]</w:t>
      </w:r>
    </w:p>
    <w:p>
      <w:r>
        <w:rPr>
          <w:b/>
          <w:bCs/>
        </w:rPr>
        <w:t xml:space="preserve">2K.1 MLR position.</w:t>
      </w:r>
      <w:r>
        <w:t xml:space="preserve"> Payment services and e-money issuance </w:t>
      </w:r>
      <w:r>
        <w:rPr>
          <w:b/>
          <w:bCs/>
        </w:rPr>
        <w:t xml:space="preserve">are</w:t>
      </w:r>
      <w:r>
        <w:t xml:space="preserve"> within the MLRs, so we must comply with them in full, including the Transfer of Funds provisions on information accompanying transfers. </w:t>
      </w:r>
      <w:r>
        <w:rPr>
          <w:b/>
          <w:bCs/>
        </w:rPr>
        <w:t xml:space="preserve">Exception:</w:t>
      </w:r>
      <w:r>
        <w:t xml:space="preserve"> a firm whose only payment service is an account information service is </w:t>
      </w:r>
      <w:r>
        <w:rPr>
          <w:b/>
          <w:bCs/>
        </w:rPr>
        <w:t xml:space="preserve">not</w:t>
      </w:r>
      <w:r>
        <w:t xml:space="preserve"> within the MLRs (regulation 15, as amended in 2022). </w:t>
      </w:r>
      <w:r>
        <w:rPr>
          <w:b/>
          <w:bCs/>
          <w:highlight w:val="yellow"/>
        </w:rPr>
        <w:t xml:space="preserve">[State which applies to your firm.]</w:t>
      </w:r>
      <w:r>
        <w:t xml:space="preserve"> Whatever the position, we remain subject to POCA, the Terrorism Act 2000 and UK sanctions law.</w:t>
      </w:r>
    </w:p>
    <w:p>
      <w:r>
        <w:rPr>
          <w:b/>
          <w:bCs/>
        </w:rPr>
        <w:t xml:space="preserve">2K.2 Our main risks.</w:t>
      </w:r>
      <w:r>
        <w:t xml:space="preserve"> Our principal risks are rapid movement of funds, money mule accounts, authorised push payment fraud, account takeover, payments to or from high-risk jurisdictions, and the misuse of our service to split or disguise payments. Payment initiation service providers also face the risk of fraudulent initiation using compromised credentials.</w:t>
      </w:r>
    </w:p>
    <w:p>
      <w:r>
        <w:rPr>
          <w:b/>
          <w:bCs/>
        </w:rPr>
        <w:t xml:space="preserve">2K.3 Our controls.</w:t>
      </w:r>
      <w:r>
        <w:t xml:space="preserve"> We carry out customer due diligence at onboarding; we apply transaction monitoring proportionate to our size and risk; we check payer and payee information as the Transfer of Funds provisions require; we screen customers and payments against the UK sanctions list; we apply strong customer authentication; and we report suspicions to our nominated officer.</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2L — Investment advice and arranging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deals in investments, or is applying to do so. Otherwise DELETE everything from this START banner down to and including the matching END OF OPTION 2L banner. Each option is self-contained, so nothing else in the document needs to change.]</w:t>
      </w:r>
    </w:p>
    <w:p>
      <w:r>
        <w:rPr>
          <w:b/>
          <w:bCs/>
        </w:rPr>
        <w:t xml:space="preserve">2L.1 MLR position.</w:t>
      </w:r>
      <w:r>
        <w:t xml:space="preserve"> Firms that advise on or arrange deals in investments are, in most cases, within the MLRs (for example as investment firms or because of the investment services they provide). We treat ourselves as a “relevant person” and comply with the MLRs in full. SYSC 6.3 also applies to us. </w:t>
      </w:r>
      <w:r>
        <w:rPr>
          <w:b/>
          <w:bCs/>
          <w:highlight w:val="yellow"/>
        </w:rPr>
        <w:t xml:space="preserve">[Confirm your position, particularly if you only advise on non-investment products.]</w:t>
      </w:r>
    </w:p>
    <w:p>
      <w:r>
        <w:rPr>
          <w:b/>
          <w:bCs/>
        </w:rPr>
        <w:t xml:space="preserve">2L.2 Our main risks.</w:t>
      </w:r>
      <w:r>
        <w:t xml:space="preserve"> Our principal risks are clients investing the proceeds of crime (especially lump sums), source of wealth that cannot be explained, early encashment or transfers soon after investment, investments made through complex structures or third parties, and politically exposed persons.</w:t>
      </w:r>
    </w:p>
    <w:p>
      <w:r>
        <w:rPr>
          <w:b/>
          <w:bCs/>
        </w:rPr>
        <w:t xml:space="preserve">2L.3 Our controls.</w:t>
      </w:r>
      <w:r>
        <w:t xml:space="preserve"> We carry out customer due diligence, including source of funds and (for higher-risk clients) source of wealth, before arranging any transaction; we check that money comes from and returns to the client’s own account; we screen against the UK sanctions list; and we report suspicions to our nominated officer.</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2L — Investment advice and arranging firms</w:t>
      </w:r>
    </w:p>
    <w:p>
      <w:pPr>
        <w:pStyle w:val="Heading20"/>
        <w:outlineLvl w:val="0"/>
      </w:pPr>
      <w:r>
        <w:t xml:space="preserve">3. Our commitment and culture</w:t>
      </w:r>
    </w:p>
    <w:p>
      <w:r>
        <w:t xml:space="preserve">We will not knowingly deal with criminals or with money that may be the proceeds of crime. We are committed to a culture in which staff feel able to question anything unusual and to raise concerns without fear. Our senior management sets that tone by their own conduct, by making sure financial crime controls are properly resourced, and by acting on what monitoring and reporting tell them.</w:t>
      </w:r>
    </w:p>
    <w:p>
      <w:r>
        <w:t xml:space="preserve">We apply a </w:t>
      </w:r>
      <w:r>
        <w:rPr>
          <w:b/>
          <w:bCs/>
        </w:rPr>
        <w:t xml:space="preserve">risk-based approach</w:t>
      </w:r>
      <w:r>
        <w:t xml:space="preserve">: we identify and assess the financial crime risks our business faces, and put controls in place that are proportionate to those risks and to the size and nature of our firm.</w:t>
      </w:r>
    </w:p>
    <w:p>
      <w:pPr>
        <w:pStyle w:val="Heading20"/>
        <w:outlineLvl w:val="0"/>
      </w:pPr>
      <w:r>
        <w:t xml:space="preserve">4. Roles and responsibilities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Name real people. In a sole trader or very small firm one person may hold several of these roles – that is acceptable, but say so and explain how you will get independent challenge (for example an annual review by an external compliance adviser).</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707"/>
        <w:gridCol w:w="6319"/>
      </w:tblGrid>
      <w:tr>
        <w:trPr>
          <w:cantSplit/>
          <w:tblHeader/>
        </w:trPr>
        <w:tc>
          <w:tcPr>
            <w:tcW w:w="2707" w:type="dxa"/>
            <w:shd w:val="clear" w:color="auto" w:fill="D9E2F3"/>
          </w:tcPr>
          <w:p>
            <w:pPr>
              <w:spacing w:before="0" w:after="60"/>
            </w:pPr>
            <w:r>
              <w:rPr>
                <w:b/>
                <w:bCs/>
              </w:rPr>
              <w:t xml:space="preserve">Role</w:t>
            </w:r>
          </w:p>
        </w:tc>
        <w:tc>
          <w:tcPr>
            <w:tcW w:w="6319" w:type="dxa"/>
            <w:shd w:val="clear" w:color="auto" w:fill="D9E2F3"/>
          </w:tcPr>
          <w:p>
            <w:pPr>
              <w:spacing w:before="0" w:after="60"/>
            </w:pPr>
            <w:r>
              <w:rPr>
                <w:b/>
                <w:bCs/>
              </w:rPr>
              <w:t xml:space="preserve">Responsibilities</w:t>
            </w:r>
          </w:p>
        </w:tc>
      </w:tr>
      <w:tr>
        <w:trPr>
          <w:cantSplit/>
        </w:trPr>
        <w:tc>
          <w:tcPr>
            <w:tcW w:w="2707" w:type="dxa"/>
          </w:tcPr>
          <w:p>
            <w:pPr>
              <w:spacing w:before="0" w:after="60"/>
            </w:pPr>
            <w:r>
              <w:t xml:space="preserve">Senior management – </w:t>
            </w:r>
            <w:r>
              <w:rPr>
                <w:b/>
                <w:bCs/>
                <w:highlight w:val="yellow"/>
              </w:rPr>
              <w:t xml:space="preserve">[Insert name(s)]</w:t>
            </w:r>
          </w:p>
        </w:tc>
        <w:tc>
          <w:tcPr>
            <w:tcW w:w="6319" w:type="dxa"/>
          </w:tcPr>
          <w:p>
            <w:pPr>
              <w:spacing w:before="0" w:after="60"/>
            </w:pPr>
            <w:r>
              <w:t xml:space="preserve">Approves this policy and the business-wide risk assessment; makes sure the MLRO has the authority, independence, time and resources to do the job; receives and acts on the MLRO’s reports; sets a culture of compliance.</w:t>
            </w:r>
          </w:p>
        </w:tc>
      </w:tr>
      <w:tr>
        <w:trPr>
          <w:cantSplit/>
        </w:trPr>
        <w:tc>
          <w:tcPr>
            <w:tcW w:w="2707" w:type="dxa"/>
          </w:tcPr>
          <w:p>
            <w:pPr>
              <w:spacing w:before="0" w:after="60"/>
            </w:pPr>
            <w:r>
              <w:t xml:space="preserve">Money Laundering Reporting Officer (MLRO) / nominated officer – </w:t>
            </w:r>
            <w:r>
              <w:rPr>
                <w:b/>
                <w:bCs/>
                <w:highlight w:val="yellow"/>
              </w:rPr>
              <w:t xml:space="preserve">[Insert name]</w:t>
            </w:r>
          </w:p>
        </w:tc>
        <w:tc>
          <w:tcPr>
            <w:tcW w:w="6319" w:type="dxa"/>
          </w:tcPr>
          <w:p>
            <w:pPr>
              <w:spacing w:before="0" w:after="60"/>
            </w:pPr>
            <w:r>
              <w:t xml:space="preserve">Receives internal suspicion reports; decides whether to report to the National Crime Agency (NCA); acts as the firm’s contact with the NCA, the FCA and OFSI; maintains the business-wide risk assessment and this policy; oversees due diligence, screening and training; reports at least annually to senior management.</w:t>
            </w:r>
          </w:p>
        </w:tc>
      </w:tr>
      <w:tr>
        <w:trPr>
          <w:cantSplit/>
        </w:trPr>
        <w:tc>
          <w:tcPr>
            <w:tcW w:w="2707" w:type="dxa"/>
          </w:tcPr>
          <w:p>
            <w:pPr>
              <w:spacing w:before="0" w:after="60"/>
            </w:pPr>
            <w:r>
              <w:rPr>
                <w:b/>
                <w:bCs/>
                <w:highlight w:val="yellow"/>
              </w:rPr>
              <w:t xml:space="preserve">[Deputy MLRO – Insert name, or delete]</w:t>
            </w:r>
          </w:p>
        </w:tc>
        <w:tc>
          <w:tcPr>
            <w:tcW w:w="6319" w:type="dxa"/>
          </w:tcPr>
          <w:p>
            <w:pPr>
              <w:spacing w:before="0" w:after="60"/>
            </w:pPr>
            <w:r>
              <w:t xml:space="preserve">Covers the MLRO’s duties during absence so that suspicion reports are always handled promptly.</w:t>
            </w:r>
          </w:p>
        </w:tc>
      </w:tr>
      <w:tr>
        <w:trPr>
          <w:cantSplit/>
        </w:trPr>
        <w:tc>
          <w:tcPr>
            <w:tcW w:w="2707" w:type="dxa"/>
          </w:tcPr>
          <w:p>
            <w:pPr>
              <w:spacing w:before="0" w:after="60"/>
            </w:pPr>
            <w:r>
              <w:t xml:space="preserve">All staff</w:t>
            </w:r>
          </w:p>
        </w:tc>
        <w:tc>
          <w:tcPr>
            <w:tcW w:w="6319" w:type="dxa"/>
          </w:tcPr>
          <w:p>
            <w:pPr>
              <w:spacing w:before="0" w:after="60"/>
            </w:pPr>
            <w:r>
              <w:t xml:space="preserve">Follow this policy and the Customer Due Diligence Policy; report any knowledge or suspicion of money laundering or terrorist financing to the MLRO promptly; never tip off; complete required training.</w:t>
            </w:r>
          </w:p>
        </w:tc>
      </w:tr>
    </w:tbl>
    <w:p>
      <w:pPr>
        <w:spacing w:before="0" w:after="0"/>
      </w:pPr>
    </w:p>
    <w:p>
      <w:r>
        <w:rPr>
          <w:b/>
          <w:bCs/>
        </w:rPr>
        <w:t xml:space="preserve">4.1 Senior Managers and Certification Regime.</w:t>
      </w:r>
      <w:r>
        <w:t xml:space="preserve"> </w:t>
      </w:r>
      <w:r>
        <w:rPr>
          <w:b/>
          <w:bCs/>
          <w:highlight w:val="yellow"/>
        </w:rPr>
        <w:t xml:space="preserve">[Keep the sentence that applies. Core SM&amp;CR firms subject to SYSC 6.3: “The MLRO holds the Money Laundering Reporting function (SMF17) and the prescribed responsibility for our financial crime policies and procedures is allocated to [Insert name]</w:t>
      </w:r>
      <w:r>
        <w:t xml:space="preserve">.” Limited scope firms: “Responsibility for our financial crime controls sits with </w:t>
      </w:r>
      <w:r>
        <w:rPr>
          <w:b/>
          <w:bCs/>
          <w:highlight w:val="yellow"/>
        </w:rPr>
        <w:t xml:space="preserve">[Insert name]</w:t>
      </w:r>
      <w:r>
        <w:t xml:space="preserve">, who holds </w:t>
      </w:r>
      <w:r>
        <w:rPr>
          <w:b/>
          <w:bCs/>
          <w:highlight w:val="yellow"/>
        </w:rPr>
        <w:t xml:space="preserve">[Insert SMF, e.g. SMF29 Limited Scope Function]</w:t>
      </w:r>
      <w:r>
        <w:t xml:space="preserve">.” Payment institutions and e-money institutions are not within SM&amp;CR: describe the responsible individual instead.]</w:t>
      </w:r>
    </w:p>
    <w:p>
      <w:r>
        <w:rPr>
          <w:b/>
          <w:bCs/>
        </w:rPr>
        <w:t xml:space="preserve">4.2 MLR governance (MLR firms only).</w:t>
      </w:r>
      <w:r>
        <w:t xml:space="preserve"> </w:t>
      </w:r>
      <w:r>
        <w:rPr>
          <w:b/>
          <w:bCs/>
          <w:highlight w:val="yellow"/>
        </w:rPr>
        <w:t xml:space="preserve">[Firms within the MLRs keep this paragraph; others delete it.]</w:t>
      </w:r>
      <w:r>
        <w:t xml:space="preserve"> Where appropriate to our size and nature, the MLRs require us to appoint a board member or senior manager as the officer responsible for our compliance with the MLRs (regulation 21(1)(a)), to screen relevant employees before and during appointment (regulation 21(1)(b)), and to establish an independent audit function (regulation 21(1)(c)). Our arrangements are: </w:t>
      </w:r>
      <w:r>
        <w:rPr>
          <w:b/>
          <w:bCs/>
          <w:highlight w:val="yellow"/>
        </w:rPr>
        <w:t xml:space="preserve">[Describe your arrangements, or explain why a requirement is not appropriate to your size and nature]</w:t>
      </w:r>
      <w:r>
        <w:t xml:space="preserve">.</w:t>
      </w:r>
    </w:p>
    <w:p>
      <w:pPr>
        <w:pStyle w:val="Heading20"/>
        <w:outlineLvl w:val="0"/>
      </w:pPr>
      <w:r>
        <w:t xml:space="preserve">5. Business-wide risk assessment</w:t>
      </w:r>
    </w:p>
    <w:p>
      <w:r>
        <w:t xml:space="preserve">We maintain a written Business-Wide Risk Assessment (BWRA) that identifies and assesses the risks of money laundering, terrorist financing and other financial crime to which our business is exposed. Firms within the MLRs must do this under regulation 18; firms outside the MLRs do it because it is the foundation of the risk-based controls SYSC 6.1.1R requires.</w:t>
      </w:r>
    </w:p>
    <w:p>
      <w:r>
        <w:t xml:space="preserve">The BWRA considers:</w:t>
      </w:r>
    </w:p>
    <w:p>
      <w:pPr>
        <w:numPr>
          <w:ilvl w:val="0"/>
          <w:numId w:val="1"/>
        </w:numPr>
      </w:pPr>
      <w:r>
        <w:rPr>
          <w:b/>
          <w:bCs/>
        </w:rPr>
        <w:t xml:space="preserve">customers</w:t>
      </w:r>
      <w:r>
        <w:t xml:space="preserve"> – for example consumers or businesses, customers in vulnerable circumstances, politically exposed persons;</w:t>
      </w:r>
    </w:p>
    <w:p>
      <w:pPr>
        <w:numPr>
          <w:ilvl w:val="0"/>
          <w:numId w:val="1"/>
        </w:numPr>
      </w:pPr>
      <w:r>
        <w:rPr>
          <w:b/>
          <w:bCs/>
        </w:rPr>
        <w:t xml:space="preserve">products and services</w:t>
      </w:r>
      <w:r>
        <w:t xml:space="preserve"> – including the size and frequency of transactions and whether they allow value to be moved quickly or anonymously;</w:t>
      </w:r>
    </w:p>
    <w:p>
      <w:pPr>
        <w:numPr>
          <w:ilvl w:val="0"/>
          <w:numId w:val="1"/>
        </w:numPr>
      </w:pPr>
      <w:r>
        <w:rPr>
          <w:b/>
          <w:bCs/>
        </w:rPr>
        <w:t xml:space="preserve">delivery channels</w:t>
      </w:r>
      <w:r>
        <w:t xml:space="preserve"> – face-to-face, remote/online, or through introducers, brokers or appointed representatives;</w:t>
      </w:r>
    </w:p>
    <w:p>
      <w:pPr>
        <w:numPr>
          <w:ilvl w:val="0"/>
          <w:numId w:val="1"/>
        </w:numPr>
      </w:pPr>
      <w:r>
        <w:rPr>
          <w:b/>
          <w:bCs/>
        </w:rPr>
        <w:t xml:space="preserve">geography</w:t>
      </w:r>
      <w:r>
        <w:t xml:space="preserve"> – where our customers, counterparties and funds come from, including links to high-risk jurisdictions;</w:t>
      </w:r>
    </w:p>
    <w:p>
      <w:pPr>
        <w:numPr>
          <w:ilvl w:val="0"/>
          <w:numId w:val="1"/>
        </w:numPr>
      </w:pPr>
      <w:r>
        <w:rPr>
          <w:b/>
          <w:bCs/>
        </w:rPr>
        <w:t xml:space="preserve">transactions</w:t>
      </w:r>
      <w:r>
        <w:t xml:space="preserve"> – for example cash, third-party payments, overpayments and early settlements;</w:t>
      </w:r>
    </w:p>
    <w:p>
      <w:pPr>
        <w:numPr>
          <w:ilvl w:val="0"/>
          <w:numId w:val="1"/>
        </w:numPr>
      </w:pPr>
      <w:r>
        <w:t xml:space="preserve">the UK </w:t>
      </w:r>
      <w:r>
        <w:rPr>
          <w:b/>
          <w:bCs/>
        </w:rPr>
        <w:t xml:space="preserve">National Risk Assessment</w:t>
      </w:r>
      <w:r>
        <w:t xml:space="preserve"> of money laundering and terrorist financing, FCA publications and relevant JMLSG sector guidance.</w:t>
      </w:r>
    </w:p>
    <w:p>
      <w:r>
        <w:t xml:space="preserve">The BWRA is reviewed at least annually and whenever there is a material change (for example a new product, channel or customer type). Its conclusions decide where we apply enhanced checks, how we target monitoring, and what our training covers. Our BWRA is recorded in the AML Business-Wide Risk Assessment and was last approved by senior management on </w:t>
      </w:r>
      <w:r>
        <w:rPr>
          <w:b/>
          <w:bCs/>
          <w:highlight w:val="yellow"/>
        </w:rPr>
        <w:t xml:space="preserve">[Insert date]</w:t>
      </w:r>
      <w:r>
        <w:t xml:space="preserve">.</w:t>
      </w:r>
    </w:p>
    <w:p>
      <w:pPr>
        <w:pStyle w:val="Heading20"/>
        <w:outlineLvl w:val="0"/>
      </w:pPr>
      <w:r>
        <w:t xml:space="preserve">6. Customer due diligence</w:t>
      </w:r>
    </w:p>
    <w:p>
      <w:r>
        <w:t xml:space="preserve">Our detailed requirements are in our </w:t>
      </w:r>
      <w:r>
        <w:rPr>
          <w:b/>
          <w:bCs/>
        </w:rPr>
        <w:t xml:space="preserve">Customer Due Diligence Policy</w:t>
      </w:r>
      <w:r>
        <w:t xml:space="preserve">. In summary:</w:t>
      </w:r>
    </w:p>
    <w:p>
      <w:pPr>
        <w:numPr>
          <w:ilvl w:val="0"/>
          <w:numId w:val="1"/>
        </w:numPr>
      </w:pPr>
      <w:r>
        <w:t xml:space="preserve">We identify every customer and verify their identity using reliable, independent sources before we establish a relationship or carry out a transaction, and we understand the purpose and intended nature of the relationship.</w:t>
      </w:r>
    </w:p>
    <w:p>
      <w:pPr>
        <w:numPr>
          <w:ilvl w:val="0"/>
          <w:numId w:val="1"/>
        </w:numPr>
      </w:pPr>
      <w:r>
        <w:t xml:space="preserve">For business customers we also identify and verify beneficial owners and understand the ownership and control structure.</w:t>
      </w:r>
    </w:p>
    <w:p>
      <w:pPr>
        <w:numPr>
          <w:ilvl w:val="0"/>
          <w:numId w:val="1"/>
        </w:numPr>
      </w:pPr>
      <w:r>
        <w:t xml:space="preserve">We apply </w:t>
      </w:r>
      <w:r>
        <w:rPr>
          <w:b/>
          <w:bCs/>
        </w:rPr>
        <w:t xml:space="preserve">enhanced due diligence</w:t>
      </w:r>
      <w:r>
        <w:t xml:space="preserve"> where the risk is higher – including, for firms within the MLRs, where the customer is a politically exposed person (or a family member or known close associate), where a transaction is unusually complex or unusually large, where there is no apparent economic or legal purpose, and where a customer or transaction involves a jurisdiction the MLRs identify as high-risk. Since 30 June 2026, the mandatory high-risk third country requirement applies to jurisdictions subject to a FATF “call for action”; other jurisdictions under increased FATF monitoring are assessed on a risk basis.</w:t>
      </w:r>
    </w:p>
    <w:p>
      <w:pPr>
        <w:numPr>
          <w:ilvl w:val="0"/>
          <w:numId w:val="1"/>
        </w:numPr>
      </w:pPr>
      <w:r>
        <w:t xml:space="preserve">For domestic politically exposed persons, the starting point is that they present a lower level of risk than foreign politically exposed persons, unless other risk factors are present.</w:t>
      </w:r>
    </w:p>
    <w:p>
      <w:pPr>
        <w:numPr>
          <w:ilvl w:val="0"/>
          <w:numId w:val="1"/>
        </w:numPr>
      </w:pPr>
      <w:r>
        <w:t xml:space="preserve">We do not proceed with a relationship or transaction if we cannot complete the required due diligence, and we consider whether to make an internal suspicion report.</w:t>
      </w:r>
    </w:p>
    <w:p>
      <w:pPr>
        <w:numPr>
          <w:ilvl w:val="0"/>
          <w:numId w:val="1"/>
        </w:numPr>
      </w:pPr>
      <w:r>
        <w:t xml:space="preserve">We keep customer information up to date through ongoing monitoring.</w:t>
      </w:r>
    </w:p>
    <w:p>
      <w:pPr>
        <w:pStyle w:val="Heading20"/>
        <w:outlineLvl w:val="0"/>
      </w:pPr>
      <w:r>
        <w:t xml:space="preserve">7. Sanctions</w:t>
      </w:r>
    </w:p>
    <w:p>
      <w:r>
        <w:t xml:space="preserve">UK financial sanctions apply to </w:t>
      </w:r>
      <w:r>
        <w:rPr>
          <w:b/>
          <w:bCs/>
        </w:rPr>
        <w:t xml:space="preserve">every</w:t>
      </w:r>
      <w:r>
        <w:t xml:space="preserve"> firm and person in the UK, whatever their regulated activities. We must not deal with funds or economic resources owned, held or controlled by a designated person, or make funds or economic resources available to or for the benefit of a designated person, unless OFSI has granted a licence.</w:t>
      </w:r>
    </w:p>
    <w:p>
      <w:pPr>
        <w:numPr>
          <w:ilvl w:val="0"/>
          <w:numId w:val="1"/>
        </w:numPr>
      </w:pPr>
      <w:r>
        <w:t xml:space="preserve">We screen customers (and, where relevant, beneficial owners, third-party payers and payees) against the UK sanctions list maintained by the Government before we accept them and </w:t>
      </w:r>
      <w:r>
        <w:rPr>
          <w:b/>
          <w:bCs/>
          <w:highlight w:val="yellow"/>
        </w:rPr>
        <w:t xml:space="preserve">[Insert frequency, e.g. whenever the list is updated / at least monthly]</w:t>
      </w:r>
      <w:r>
        <w:t xml:space="preserve"> after that.</w:t>
      </w:r>
    </w:p>
    <w:p>
      <w:pPr>
        <w:numPr>
          <w:ilvl w:val="0"/>
          <w:numId w:val="1"/>
        </w:numPr>
      </w:pPr>
      <w:r>
        <w:t xml:space="preserve">A potential match is escalated to the MLRO immediately and no further action is taken on the account or transaction until the MLRO has decided it is a false positive.</w:t>
      </w:r>
    </w:p>
    <w:p>
      <w:pPr>
        <w:numPr>
          <w:ilvl w:val="0"/>
          <w:numId w:val="1"/>
        </w:numPr>
      </w:pPr>
      <w:r>
        <w:t xml:space="preserve">As an FCA-authorised firm we are a “relevant firm” for sanctions reporting purposes. We will report to OFSI as soon as practicable if we know or reasonably suspect that a person is a designated person or has committed a sanctions offence, and report any frozen assets we hold.</w:t>
      </w:r>
    </w:p>
    <w:p>
      <w:pPr>
        <w:numPr>
          <w:ilvl w:val="0"/>
          <w:numId w:val="1"/>
        </w:numPr>
      </w:pPr>
      <w:r>
        <w:t xml:space="preserve">We keep records of screening, alerts and decisions in our Sanctions Screening Log.</w:t>
      </w:r>
    </w:p>
    <w:p>
      <w:pPr>
        <w:pStyle w:val="Heading20"/>
        <w:outlineLvl w:val="0"/>
      </w:pPr>
      <w:r>
        <w:t xml:space="preserve">8. Reporting suspicions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The legal reporting framework differs depending on whether your firm is within the MLRs (the “regulated sector” for POCA purposes). Keep the one option that matches your conclusion in section 2 and delete the other.</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8A — Firms within the MLRs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conclusion in section 2 is that your firm is within the Money Laundering Regulations (for example consumer credit lenders, payment services firms, investment firms, life insurance intermediaries, and peer-to-peer platforms applying the MLR standard). Otherwise DELETE everything from this START banner down to and including the matching END OF OPTION 8A banner. Each option is self-contained, so nothing else in the document needs to change.]</w:t>
      </w:r>
    </w:p>
    <w:p>
      <w:r>
        <w:rPr>
          <w:b/>
          <w:bCs/>
        </w:rPr>
        <w:t xml:space="preserve">8A.1 Our legal duty.</w:t>
      </w:r>
      <w:r>
        <w:t xml:space="preserve"> Because we are within the MLRs, we are in the “regulated sector”. Any member of staff who knows or suspects, or has reasonable grounds to know or suspect, that another person is engaged in money laundering or terrorist financing, based on information obtained in the course of our business, </w:t>
      </w:r>
      <w:r>
        <w:rPr>
          <w:b/>
          <w:bCs/>
        </w:rPr>
        <w:t xml:space="preserve">must</w:t>
      </w:r>
      <w:r>
        <w:t xml:space="preserve"> report it to our nominated officer (the MLRO) as soon as practicable. Failing to report is a criminal offence (section 330 of POCA; section 21A of the Terrorism Act 2000). The “reasonable grounds” test means a report can be required even where a person did not actually suspect, if a reasonable person in their position would have done.</w:t>
      </w:r>
    </w:p>
    <w:p>
      <w:r>
        <w:rPr>
          <w:b/>
          <w:bCs/>
        </w:rPr>
        <w:t xml:space="preserve">8A.2 How staff report.</w:t>
      </w:r>
      <w:r>
        <w:t xml:space="preserve"> Staff report by completing an Internal Suspicious Activity Report (ISAR) and giving it directly and confidentially to the MLRO </w:t>
      </w:r>
      <w:r>
        <w:rPr>
          <w:b/>
          <w:bCs/>
          <w:highlight w:val="yellow"/>
        </w:rPr>
        <w:t xml:space="preserve">[Insert how ISARs are submitted, e.g. by secure email]</w:t>
      </w:r>
      <w:r>
        <w:t xml:space="preserve">. Staff must not discuss the suspicion with the customer or anyone else, and must not carry out further investigation themselves. Once a report is made to the MLRO, the member of staff has met their legal obligation.</w:t>
      </w:r>
    </w:p>
    <w:p>
      <w:r>
        <w:rPr>
          <w:b/>
          <w:bCs/>
        </w:rPr>
        <w:t xml:space="preserve">8A.3 What the MLRO does.</w:t>
      </w:r>
      <w:r>
        <w:t xml:space="preserve"> The MLRO acknowledges the report, reviews it against the information we hold, records their reasoning in the AML Incident Register, and decides whether there is knowledge or suspicion requiring a report to the NCA. If so, the MLRO submits a Suspicious Activity Report (SAR) through the NCA’s online reporting portal as soon as practicable. The MLRO’s decision is theirs alone and must not be influenced by commercial considerations.</w:t>
      </w:r>
    </w:p>
    <w:p>
      <w:r>
        <w:rPr>
          <w:b/>
          <w:bCs/>
        </w:rPr>
        <w:t xml:space="preserve">8A.4 Defence against money laundering (DAML).</w:t>
      </w:r>
      <w:r>
        <w:t xml:space="preserve"> If we need to carry out an act that would otherwise be a money laundering offence (for example processing a payment or returning funds), the MLRO will request a DAML from the NCA and we will not proceed until consent is received or deemed. The NCA has seven working days to respond; if it refuses, a further moratorium period applies (normally 31 days, which a court can extend).</w:t>
      </w:r>
    </w:p>
    <w:p>
      <w:r>
        <w:rPr>
          <w:b/>
          <w:bCs/>
        </w:rPr>
        <w:t xml:space="preserve">8A.5 Tipping off.</w:t>
      </w:r>
      <w:r>
        <w:t xml:space="preserve"> It is a criminal offence for anyone in the regulated sector to disclose that a SAR has been made, or that an investigation is under way or contemplated, where that disclosure is likely to prejudice an investigation (section 333A of POCA; section 21D of the Terrorism Act 2000). Staff must handle customers carefully while a report is under consideration and must not give any indication of it. The MLRO will advise on what to say.</w:t>
      </w:r>
    </w:p>
    <w:p>
      <w:r>
        <w:rPr>
          <w:b/>
          <w:bCs/>
        </w:rPr>
        <w:t xml:space="preserve">8A.6 Records.</w:t>
      </w:r>
      <w:r>
        <w:t xml:space="preserve"> The MLRO keeps a confidential record in the AML Incident Register of every ISAR, the MLRO’s decision and reasons, any SAR submitted (with its NCA reference) and any DAML correspondence, separate from customer files.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8A — Firms within the MLRs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8B — Firms outside the MLRs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conclusion in section 2 is that NONE of your firm’s activities bring it within the Money Laundering Regulations (for example firms that only carry on credit broking, debt management, debt collection, credit information services, consumer hire, general insurance distribution, mortgage broking or account information services). Otherwise DELETE everything from this START banner down to and including the matching END OF OPTION 8B banner. Each option is self-contained, so nothing else in the document needs to change.]</w:t>
      </w:r>
    </w:p>
    <w:p>
      <w:r>
        <w:rPr>
          <w:b/>
          <w:bCs/>
        </w:rPr>
        <w:t xml:space="preserve">8B.1 Our legal position.</w:t>
      </w:r>
      <w:r>
        <w:t xml:space="preserve"> Because we are not within the MLRs, we are not in the “regulated sector” for POCA purposes, so the regulated-sector offence of failing to report does not apply to us. However, the principal money laundering offences apply to everyone: it is an offence to conceal, disguise, convert or transfer criminal property, to enter into an arrangement that facilitates another person’s acquisition, retention, use or control of criminal property, or to acquire, use or possess criminal property (sections 327 to 329 of POCA). Making a report to the NCA, with its consent where needed, is how we protect the firm and our staff from committing these offences. The terrorist financing offences in the Terrorism Act 2000 also apply to us, and reporting suspicions of terrorist financing is required in some circumstances.</w:t>
      </w:r>
    </w:p>
    <w:p>
      <w:r>
        <w:rPr>
          <w:b/>
          <w:bCs/>
        </w:rPr>
        <w:t xml:space="preserve">8B.2 Our policy.</w:t>
      </w:r>
      <w:r>
        <w:t xml:space="preserve"> As a matter of firm policy, any member of staff who knows or suspects that a customer or other person is involved in money laundering, terrorist financing or fraud </w:t>
      </w:r>
      <w:r>
        <w:rPr>
          <w:b/>
          <w:bCs/>
        </w:rPr>
        <w:t xml:space="preserve">must</w:t>
      </w:r>
      <w:r>
        <w:t xml:space="preserve"> report it promptly to the MLRO, who is our nominated person for these purposes.</w:t>
      </w:r>
    </w:p>
    <w:p>
      <w:r>
        <w:rPr>
          <w:b/>
          <w:bCs/>
        </w:rPr>
        <w:t xml:space="preserve">8B.3 How staff report.</w:t>
      </w:r>
      <w:r>
        <w:t xml:space="preserve"> Staff report by completing an Internal Suspicious Activity Report (ISAR) and giving it directly and confidentially to the MLRO </w:t>
      </w:r>
      <w:r>
        <w:rPr>
          <w:b/>
          <w:bCs/>
          <w:highlight w:val="yellow"/>
        </w:rPr>
        <w:t xml:space="preserve">[Insert how ISARs are submitted]</w:t>
      </w:r>
      <w:r>
        <w:t xml:space="preserve">. Staff must not discuss the suspicion with the customer or anyone else, and must not investigate it themselves.</w:t>
      </w:r>
    </w:p>
    <w:p>
      <w:r>
        <w:rPr>
          <w:b/>
          <w:bCs/>
        </w:rPr>
        <w:t xml:space="preserve">8B.4 What the MLRO does.</w:t>
      </w:r>
      <w:r>
        <w:t xml:space="preserve"> The MLRO reviews the report, records their reasoning, and decides whether to submit a Suspicious Activity Report (SAR) to the NCA through its online portal. Where continuing with a transaction could involve dealing with criminal property, the MLRO will seek a defence against money laundering (DAML) from the NCA before we proceed. Where a report concerns fraud, the MLRO will also consider reporting to Action Fraud / Report Fraud, relevant lenders or insurers, and fraud prevention agencies we are members of.</w:t>
      </w:r>
    </w:p>
    <w:p>
      <w:r>
        <w:rPr>
          <w:b/>
          <w:bCs/>
        </w:rPr>
        <w:t xml:space="preserve">8B.5 Prejudicing an investigation.</w:t>
      </w:r>
      <w:r>
        <w:t xml:space="preserve"> Even outside the regulated sector, it is an offence to make a disclosure that is likely to prejudice a money laundering investigation, or to falsify, conceal or destroy relevant documents (section 342 of POCA). Staff must not tell a customer that a report has been, or may be, made.</w:t>
      </w:r>
    </w:p>
    <w:p>
      <w:r>
        <w:rPr>
          <w:b/>
          <w:bCs/>
        </w:rPr>
        <w:t xml:space="preserve">8B.6 Records.</w:t>
      </w:r>
      <w:r>
        <w:t xml:space="preserve"> The MLRO keeps a confidential record in the AML Incident Register of every internal report, their decision and reasons, and any SAR submitted, separate from customer files.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8B — Firms outside the MLRs</w:t>
      </w:r>
    </w:p>
    <w:p>
      <w:r>
        <w:rPr>
          <w:b/>
          <w:bCs/>
        </w:rPr>
        <w:t xml:space="preserve">8.1 Signs of possible financial crime.</w:t>
      </w:r>
      <w:r>
        <w:t xml:space="preserve"> Staff must be alert to anything unusual. Common warning signs include:</w:t>
      </w:r>
    </w:p>
    <w:p>
      <w:pPr>
        <w:numPr>
          <w:ilvl w:val="0"/>
          <w:numId w:val="1"/>
        </w:numPr>
      </w:pPr>
      <w:r>
        <w:t xml:space="preserve">reluctance or refusal to provide identification or information, or information that cannot be verified;</w:t>
      </w:r>
    </w:p>
    <w:p>
      <w:pPr>
        <w:numPr>
          <w:ilvl w:val="0"/>
          <w:numId w:val="1"/>
        </w:numPr>
      </w:pPr>
      <w:r>
        <w:t xml:space="preserve">information that is inconsistent (for example income that does not match employment, or an address the customer does not seem to know);</w:t>
      </w:r>
    </w:p>
    <w:p>
      <w:pPr>
        <w:numPr>
          <w:ilvl w:val="0"/>
          <w:numId w:val="1"/>
        </w:numPr>
      </w:pPr>
      <w:r>
        <w:t xml:space="preserve">payments from, or refunds requested to, third parties or accounts in a different name;</w:t>
      </w:r>
    </w:p>
    <w:p>
      <w:pPr>
        <w:numPr>
          <w:ilvl w:val="0"/>
          <w:numId w:val="1"/>
        </w:numPr>
      </w:pPr>
      <w:r>
        <w:t xml:space="preserve">unusually large, complex or rushed transactions without an obvious purpose, or deliberate splitting of payments to stay below thresholds;</w:t>
      </w:r>
    </w:p>
    <w:p>
      <w:pPr>
        <w:numPr>
          <w:ilvl w:val="0"/>
          <w:numId w:val="1"/>
        </w:numPr>
      </w:pPr>
      <w:r>
        <w:t xml:space="preserve">overpayments followed by refund requests, or early settlement soon after taking out a product;</w:t>
      </w:r>
    </w:p>
    <w:p>
      <w:pPr>
        <w:numPr>
          <w:ilvl w:val="0"/>
          <w:numId w:val="1"/>
        </w:numPr>
      </w:pPr>
      <w:r>
        <w:t xml:space="preserve">the customer appearing to be directed or controlled by someone else;</w:t>
      </w:r>
    </w:p>
    <w:p>
      <w:pPr>
        <w:numPr>
          <w:ilvl w:val="0"/>
          <w:numId w:val="1"/>
        </w:numPr>
      </w:pPr>
      <w:r>
        <w:t xml:space="preserve">links to high-risk jurisdictions, or requests to route money through unusual channels.</w:t>
      </w:r>
    </w:p>
    <w:p>
      <w:r>
        <w:t xml:space="preserve">Every warning sign is judged in context. One sign does not automatically mean a report is needed, but staff should ask themselves whether a reasonable person would be suspicious – and if in doubt, report.</w:t>
      </w:r>
    </w:p>
    <w:p>
      <w:pPr>
        <w:pStyle w:val="Heading20"/>
        <w:outlineLvl w:val="0"/>
      </w:pPr>
      <w:r>
        <w:t xml:space="preserve">9. Fraud, bribery and tax evasion</w:t>
      </w:r>
    </w:p>
    <w:p>
      <w:r>
        <w:rPr>
          <w:b/>
          <w:bCs/>
        </w:rPr>
        <w:t xml:space="preserve">9.1 Fraud.</w:t>
      </w:r>
      <w:r>
        <w:t xml:space="preserve"> We take reasonable steps to prevent fraud against our customers, our firm and the firms we work with. Our controls include verification of identity and key information, segregation of duties over payments, dual authorisation of </w:t>
      </w:r>
      <w:r>
        <w:rPr>
          <w:b/>
          <w:bCs/>
          <w:highlight w:val="yellow"/>
        </w:rPr>
        <w:t xml:space="preserve">[Insert: payments above a threshold / changes to bank details]</w:t>
      </w:r>
      <w:r>
        <w:t xml:space="preserve">, and prompt reporting of suspected fraud. </w:t>
      </w:r>
      <w:r>
        <w:rPr>
          <w:b/>
          <w:bCs/>
          <w:highlight w:val="yellow"/>
        </w:rPr>
        <w:t xml:space="preserve">[If your firm or its group meets two of the three size thresholds for a “large organisation” – more than 250 employees, more than £36 million turnover, more than £18 million total assets – the corporate offence of failure to prevent fraud (Economic Crime and Corporate Transparency Act 2023, in force since 1 September 2025) applies and you must describe your reasonable fraud prevention procedures. Otherwise delete this sentence.]</w:t>
      </w:r>
    </w:p>
    <w:p>
      <w:r>
        <w:rPr>
          <w:b/>
          <w:bCs/>
        </w:rPr>
        <w:t xml:space="preserve">9.2 Bribery.</w:t>
      </w:r>
      <w:r>
        <w:t xml:space="preserve"> We do not offer, pay, request or accept bribes, and we do not make facilitation payments. Gifts and hospitality given or received above </w:t>
      </w:r>
      <w:r>
        <w:rPr>
          <w:b/>
          <w:bCs/>
          <w:highlight w:val="yellow"/>
        </w:rPr>
        <w:t xml:space="preserve">[Insert value, e.g. £50]</w:t>
      </w:r>
      <w:r>
        <w:t xml:space="preserve"> must be approved in advance by </w:t>
      </w:r>
      <w:r>
        <w:rPr>
          <w:b/>
          <w:bCs/>
          <w:highlight w:val="yellow"/>
        </w:rPr>
        <w:t xml:space="preserve">[Insert name or role]</w:t>
      </w:r>
      <w:r>
        <w:t xml:space="preserve"> and recorded in our Gifts and Hospitality Register. Our procedures are proportionate to our risks, as the defence to the section 7 offence of the Bribery Act 2010 requires.</w:t>
      </w:r>
    </w:p>
    <w:p>
      <w:r>
        <w:rPr>
          <w:b/>
          <w:bCs/>
        </w:rPr>
        <w:t xml:space="preserve">9.3 Facilitation of tax evasion.</w:t>
      </w:r>
      <w:r>
        <w:t xml:space="preserve"> We do not facilitate tax evasion by customers, suppliers or anyone else, and we have reasonable prevention procedures proportionate to our risk, as the Criminal Finances Act 2017 requires. Staff must report any concern about tax evasion to the MLRO.</w:t>
      </w:r>
    </w:p>
    <w:p>
      <w:r>
        <w:rPr>
          <w:b/>
          <w:bCs/>
        </w:rPr>
        <w:t xml:space="preserve">9.4 Inducements and conflicts.</w:t>
      </w:r>
      <w:r>
        <w:t xml:space="preserve"> Commission, fees and other benefits we receive from lenders, insurers or product providers must be disclosed as the relevant FCA rules require and must never be allowed to influence staff to act against a customer’s interests.</w:t>
      </w:r>
    </w:p>
    <w:p>
      <w:pPr>
        <w:pStyle w:val="Heading20"/>
        <w:outlineLvl w:val="0"/>
      </w:pPr>
      <w:r>
        <w:t xml:space="preserve">10. Record keeping</w:t>
      </w:r>
    </w:p>
    <w:p>
      <w:r>
        <w:t xml:space="preserve">We keep records that allow us to demonstrate compliance and to respond to law enforcement and the FCA. We keep:</w:t>
      </w:r>
    </w:p>
    <w:p>
      <w:pPr>
        <w:numPr>
          <w:ilvl w:val="0"/>
          <w:numId w:val="1"/>
        </w:numPr>
      </w:pPr>
      <w:r>
        <w:t xml:space="preserve">customer due diligence records and supporting evidence – for </w:t>
      </w:r>
      <w:r>
        <w:rPr>
          <w:b/>
          <w:bCs/>
        </w:rPr>
        <w:t xml:space="preserve">five years</w:t>
      </w:r>
      <w:r>
        <w:t xml:space="preserve"> after the end of the business relationship or the date of an occasional transaction (regulation 40 of the MLRs, for firms within the MLRs; firm policy for others);</w:t>
      </w:r>
    </w:p>
    <w:p>
      <w:pPr>
        <w:numPr>
          <w:ilvl w:val="0"/>
          <w:numId w:val="1"/>
        </w:numPr>
      </w:pPr>
      <w:r>
        <w:t xml:space="preserve">records of transactions sufficient to reconstruct them – for five years after the transaction;</w:t>
      </w:r>
    </w:p>
    <w:p>
      <w:pPr>
        <w:numPr>
          <w:ilvl w:val="0"/>
          <w:numId w:val="1"/>
        </w:numPr>
      </w:pPr>
      <w:r>
        <w:t xml:space="preserve">internal suspicion reports, MLRO decisions, SARs and DAML correspondence – for </w:t>
      </w:r>
      <w:r>
        <w:rPr>
          <w:b/>
          <w:bCs/>
          <w:highlight w:val="yellow"/>
        </w:rPr>
        <w:t xml:space="preserve">[Insert period, e.g. five years]</w:t>
      </w:r>
      <w:r>
        <w:t xml:space="preserve"> after the report;</w:t>
      </w:r>
    </w:p>
    <w:p>
      <w:pPr>
        <w:numPr>
          <w:ilvl w:val="0"/>
          <w:numId w:val="1"/>
        </w:numPr>
      </w:pPr>
      <w:r>
        <w:t xml:space="preserve">sanctions screening results and decisions;</w:t>
      </w:r>
    </w:p>
    <w:p>
      <w:pPr>
        <w:numPr>
          <w:ilvl w:val="0"/>
          <w:numId w:val="1"/>
        </w:numPr>
      </w:pPr>
      <w:r>
        <w:t xml:space="preserve">training records and the business-wide risk assessment, including previous versions.</w:t>
      </w:r>
    </w:p>
    <w:p>
      <w:r>
        <w:t xml:space="preserve">We delete personal data at the end of the retention period unless we are required by law, or it is necessary for legal proceedings, to keep it longer, in line with our Data Processing Policy.</w:t>
      </w:r>
    </w:p>
    <w:p>
      <w:pPr>
        <w:pStyle w:val="Heading20"/>
        <w:outlineLvl w:val="0"/>
      </w:pPr>
      <w:r>
        <w:t xml:space="preserve">11. Training and awareness</w:t>
      </w:r>
    </w:p>
    <w:p>
      <w:r>
        <w:t xml:space="preserve">Every member of staff receives financial crime training appropriate to their role:</w:t>
      </w:r>
    </w:p>
    <w:p>
      <w:pPr>
        <w:numPr>
          <w:ilvl w:val="0"/>
          <w:numId w:val="1"/>
        </w:numPr>
      </w:pPr>
      <w:r>
        <w:t xml:space="preserve">at induction, before they deal with customers or payments;</w:t>
      </w:r>
    </w:p>
    <w:p>
      <w:pPr>
        <w:numPr>
          <w:ilvl w:val="0"/>
          <w:numId w:val="1"/>
        </w:numPr>
      </w:pPr>
      <w:r>
        <w:t xml:space="preserve">at least annually after that; and</w:t>
      </w:r>
    </w:p>
    <w:p>
      <w:pPr>
        <w:numPr>
          <w:ilvl w:val="0"/>
          <w:numId w:val="1"/>
        </w:numPr>
      </w:pPr>
      <w:r>
        <w:t xml:space="preserve">whenever the law, our risks or our procedures change materially.</w:t>
      </w:r>
    </w:p>
    <w:p>
      <w:r>
        <w:t xml:space="preserve">Training covers: the law and our obligations; how money laundering, terrorist financing, sanctions evasion and fraud might occur in our business; warning signs; how to report suspicions; tipping off; data protection in relation to financial crime; and our internal procedures. The MLRO receives more detailed training. Completion is recorded in our Training Log and tested through </w:t>
      </w:r>
      <w:r>
        <w:rPr>
          <w:b/>
          <w:bCs/>
          <w:highlight w:val="yellow"/>
        </w:rPr>
        <w:t xml:space="preserve">[Insert: short assessments / file reviews]</w:t>
      </w:r>
      <w:r>
        <w:t xml:space="preserve">.</w:t>
      </w:r>
    </w:p>
    <w:p>
      <w:pPr>
        <w:pStyle w:val="Heading20"/>
        <w:outlineLvl w:val="0"/>
      </w:pPr>
      <w:r>
        <w:t xml:space="preserve">12. Monitoring, reporting and review</w:t>
      </w:r>
    </w:p>
    <w:p>
      <w:r>
        <w:rPr>
          <w:b/>
          <w:bCs/>
        </w:rPr>
        <w:t xml:space="preserve">12.1 Monitoring.</w:t>
      </w:r>
      <w:r>
        <w:t xml:space="preserve"> Our financial crime controls are tested under our Compliance Monitoring Plan, including samples of customer files, screening records and internal reports, at least </w:t>
      </w:r>
      <w:r>
        <w:rPr>
          <w:b/>
          <w:bCs/>
          <w:highlight w:val="yellow"/>
        </w:rPr>
        <w:t xml:space="preserve">[Insert frequency]</w:t>
      </w:r>
      <w:r>
        <w:t xml:space="preserve">.</w:t>
      </w:r>
    </w:p>
    <w:p>
      <w:r>
        <w:rPr>
          <w:b/>
          <w:bCs/>
        </w:rPr>
        <w:t xml:space="preserve">12.2 MLRO annual report.</w:t>
      </w:r>
      <w:r>
        <w:t xml:space="preserve"> The MLRO reports to senior management at least annually on how well our controls are working, the volume and themes of internal and external reports, training, changes in risk and any recommended improvements. Senior management records its response and actions.</w:t>
      </w:r>
    </w:p>
    <w:p>
      <w:r>
        <w:rPr>
          <w:b/>
          <w:bCs/>
        </w:rPr>
        <w:t xml:space="preserve">12.3 Regulatory reporting.</w:t>
      </w:r>
      <w:r>
        <w:t xml:space="preserve"> </w:t>
      </w:r>
      <w:r>
        <w:rPr>
          <w:b/>
          <w:bCs/>
          <w:highlight w:val="yellow"/>
        </w:rPr>
        <w:t xml:space="preserve">[Firms within the MLRs: keep and complete this paragraph.]</w:t>
      </w:r>
      <w:r>
        <w:t xml:space="preserve"> We submit the FCA’s annual Financial Crime Report (REP-CRIM) if we are required to under SUP 16.23 </w:t>
      </w:r>
      <w:r>
        <w:rPr>
          <w:b/>
          <w:bCs/>
          <w:highlight w:val="yellow"/>
        </w:rPr>
        <w:t xml:space="preserve">[Insert: yes / no, with reason]</w:t>
      </w:r>
      <w:r>
        <w:t xml:space="preserve">. We also notify the FCA of significant financial crime matters under Principle 11 and SUP 15.3.</w:t>
      </w:r>
    </w:p>
    <w:p>
      <w:r>
        <w:rPr>
          <w:b/>
          <w:bCs/>
        </w:rPr>
        <w:t xml:space="preserve">12.4 Review of this policy.</w:t>
      </w:r>
      <w:r>
        <w:t xml:space="preserve"> This policy is reviewed at least annually by the MLRO and approved by senior management, and sooner if the law, FCA rules or our business change. The latest approved version is available to all staff at </w:t>
      </w:r>
      <w:r>
        <w:rPr>
          <w:b/>
          <w:bCs/>
          <w:highlight w:val="yellow"/>
        </w:rPr>
        <w:t xml:space="preserve">[Insert location]</w:t>
      </w:r>
      <w:r>
        <w:t xml:space="preserve">.</w:t>
      </w:r>
    </w:p>
    <w:p>
      <w:pPr>
        <w:pStyle w:val="Heading20"/>
        <w:outlineLvl w:val="0"/>
      </w:pPr>
      <w:r>
        <w:t xml:space="preserve">13. Supporting registers</w:t>
      </w:r>
    </w:p>
    <w:p>
      <w:r>
        <w:t xml:space="preserve">The KMS registers below support this policy. Each is a separate file. They are an essential part of the policy, not optional extras: the FCA judges whether a policy works in practice by looking at these records, and a policy without them is unlikely to withstand scrutiny. Keep them up to date from your first day of trading.</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Do not delete a register from this list because you have not started using it yet – start using it. Where part of a register genuinely cannot apply to your firm (for example safeguarding when you hold no relevant funds), keep the register and record why that part does not apply.</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527"/>
        <w:gridCol w:w="3249"/>
        <w:gridCol w:w="3250"/>
      </w:tblGrid>
      <w:tr>
        <w:trPr>
          <w:cantSplit/>
          <w:tblHeader/>
        </w:trPr>
        <w:tc>
          <w:tcPr>
            <w:tcW w:w="2527" w:type="dxa"/>
            <w:shd w:val="clear" w:color="auto" w:fill="D9E2F3"/>
          </w:tcPr>
          <w:p>
            <w:pPr>
              <w:spacing w:before="0" w:after="60"/>
            </w:pPr>
            <w:r>
              <w:rPr>
                <w:b/>
                <w:bCs/>
              </w:rPr>
              <w:t xml:space="preserve">Register</w:t>
            </w:r>
          </w:p>
        </w:tc>
        <w:tc>
          <w:tcPr>
            <w:tcW w:w="3249" w:type="dxa"/>
            <w:shd w:val="clear" w:color="auto" w:fill="D9E2F3"/>
          </w:tcPr>
          <w:p>
            <w:pPr>
              <w:spacing w:before="0" w:after="60"/>
            </w:pPr>
            <w:r>
              <w:rPr>
                <w:b/>
                <w:bCs/>
              </w:rPr>
              <w:t xml:space="preserve">KMS file</w:t>
            </w:r>
          </w:p>
        </w:tc>
        <w:tc>
          <w:tcPr>
            <w:tcW w:w="3250" w:type="dxa"/>
            <w:shd w:val="clear" w:color="auto" w:fill="D9E2F3"/>
          </w:tcPr>
          <w:p>
            <w:pPr>
              <w:spacing w:before="0" w:after="60"/>
            </w:pPr>
            <w:r>
              <w:rPr>
                <w:b/>
                <w:bCs/>
              </w:rPr>
              <w:t xml:space="preserve">What it evidences</w:t>
            </w:r>
          </w:p>
        </w:tc>
      </w:tr>
      <w:tr>
        <w:trPr>
          <w:cantSplit/>
        </w:trPr>
        <w:tc>
          <w:tcPr>
            <w:tcW w:w="2527" w:type="dxa"/>
          </w:tcPr>
          <w:p>
            <w:pPr>
              <w:spacing w:before="0" w:after="60"/>
            </w:pPr>
            <w:r>
              <w:t xml:space="preserve">AML Incident Register</w:t>
            </w:r>
          </w:p>
        </w:tc>
        <w:tc>
          <w:tcPr>
            <w:tcW w:w="3249" w:type="dxa"/>
          </w:tcPr>
          <w:p>
            <w:pPr>
              <w:spacing w:before="0" w:after="60"/>
            </w:pPr>
            <w:r>
              <w:t xml:space="preserve">Anti_Money_Laundering_Incident_Register_v2.0_Template.docx</w:t>
            </w:r>
          </w:p>
        </w:tc>
        <w:tc>
          <w:tcPr>
            <w:tcW w:w="3250" w:type="dxa"/>
          </w:tcPr>
          <w:p>
            <w:pPr>
              <w:spacing w:before="0" w:after="60"/>
            </w:pPr>
            <w:r>
              <w:t xml:space="preserve">Every internal suspicious activity report, the MLRO’s reasoning and decision, SARs and DAML requests</w:t>
            </w:r>
          </w:p>
        </w:tc>
      </w:tr>
      <w:tr>
        <w:trPr>
          <w:cantSplit/>
        </w:trPr>
        <w:tc>
          <w:tcPr>
            <w:tcW w:w="2527" w:type="dxa"/>
          </w:tcPr>
          <w:p>
            <w:pPr>
              <w:spacing w:before="0" w:after="60"/>
            </w:pPr>
            <w:r>
              <w:t xml:space="preserve">Customer Due Diligence Checklist</w:t>
            </w:r>
          </w:p>
        </w:tc>
        <w:tc>
          <w:tcPr>
            <w:tcW w:w="3249" w:type="dxa"/>
          </w:tcPr>
          <w:p>
            <w:pPr>
              <w:spacing w:before="0" w:after="60"/>
            </w:pPr>
            <w:r>
              <w:t xml:space="preserve">Customer_Due_Diligence_Checklist_v2.0_Template.xlsx</w:t>
            </w:r>
          </w:p>
        </w:tc>
        <w:tc>
          <w:tcPr>
            <w:tcW w:w="3250" w:type="dxa"/>
          </w:tcPr>
          <w:p>
            <w:pPr>
              <w:spacing w:before="0" w:after="60"/>
            </w:pPr>
            <w:r>
              <w:t xml:space="preserve">Due diligence completed for each customer before onboarding</w:t>
            </w:r>
          </w:p>
        </w:tc>
      </w:tr>
      <w:tr>
        <w:trPr>
          <w:cantSplit/>
        </w:trPr>
        <w:tc>
          <w:tcPr>
            <w:tcW w:w="2527" w:type="dxa"/>
          </w:tcPr>
          <w:p>
            <w:pPr>
              <w:spacing w:before="0" w:after="60"/>
            </w:pPr>
            <w:r>
              <w:t xml:space="preserve">Enhanced Due Diligence Checklist</w:t>
            </w:r>
          </w:p>
        </w:tc>
        <w:tc>
          <w:tcPr>
            <w:tcW w:w="3249" w:type="dxa"/>
          </w:tcPr>
          <w:p>
            <w:pPr>
              <w:spacing w:before="0" w:after="60"/>
            </w:pPr>
            <w:r>
              <w:t xml:space="preserve">Enhanced_Due_Diligence_Checklist_v2.0_Template.xlsx</w:t>
            </w:r>
          </w:p>
        </w:tc>
        <w:tc>
          <w:tcPr>
            <w:tcW w:w="3250" w:type="dxa"/>
          </w:tcPr>
          <w:p>
            <w:pPr>
              <w:spacing w:before="0" w:after="60"/>
            </w:pPr>
            <w:r>
              <w:t xml:space="preserve">Enhanced checks and approvals for higher-risk customers</w:t>
            </w:r>
          </w:p>
        </w:tc>
      </w:tr>
      <w:tr>
        <w:trPr>
          <w:cantSplit/>
        </w:trPr>
        <w:tc>
          <w:tcPr>
            <w:tcW w:w="2527" w:type="dxa"/>
          </w:tcPr>
          <w:p>
            <w:pPr>
              <w:spacing w:before="0" w:after="60"/>
            </w:pPr>
            <w:r>
              <w:t xml:space="preserve">Customer Due Diligence Register</w:t>
            </w:r>
          </w:p>
        </w:tc>
        <w:tc>
          <w:tcPr>
            <w:tcW w:w="3249" w:type="dxa"/>
          </w:tcPr>
          <w:p>
            <w:pPr>
              <w:spacing w:before="0" w:after="60"/>
            </w:pPr>
            <w:r>
              <w:t xml:space="preserve">Customer_Due_Diligence_Register_v2.0_Template.xlsx</w:t>
            </w:r>
          </w:p>
        </w:tc>
        <w:tc>
          <w:tcPr>
            <w:tcW w:w="3250" w:type="dxa"/>
          </w:tcPr>
          <w:p>
            <w:pPr>
              <w:spacing w:before="0" w:after="60"/>
            </w:pPr>
            <w:r>
              <w:t xml:space="preserve">Every customer’s verification, risk rating, screening, review and deletion dates</w:t>
            </w:r>
          </w:p>
        </w:tc>
      </w:tr>
      <w:tr>
        <w:trPr>
          <w:cantSplit/>
        </w:trPr>
        <w:tc>
          <w:tcPr>
            <w:tcW w:w="2527" w:type="dxa"/>
          </w:tcPr>
          <w:p>
            <w:pPr>
              <w:spacing w:before="0" w:after="60"/>
            </w:pPr>
            <w:r>
              <w:t xml:space="preserve">Sanctions Screening Log</w:t>
            </w:r>
          </w:p>
        </w:tc>
        <w:tc>
          <w:tcPr>
            <w:tcW w:w="3249" w:type="dxa"/>
          </w:tcPr>
          <w:p>
            <w:pPr>
              <w:spacing w:before="0" w:after="60"/>
            </w:pPr>
            <w:r>
              <w:t xml:space="preserve">Sanctions_Screening_Log_v2.0_Template.xlsx</w:t>
            </w:r>
          </w:p>
        </w:tc>
        <w:tc>
          <w:tcPr>
            <w:tcW w:w="3250" w:type="dxa"/>
          </w:tcPr>
          <w:p>
            <w:pPr>
              <w:spacing w:before="0" w:after="60"/>
            </w:pPr>
            <w:r>
              <w:t xml:space="preserve">Sanctions screening, potential matches, decisions and OFSI reports</w:t>
            </w:r>
          </w:p>
        </w:tc>
      </w:tr>
      <w:tr>
        <w:trPr>
          <w:cantSplit/>
        </w:trPr>
        <w:tc>
          <w:tcPr>
            <w:tcW w:w="2527" w:type="dxa"/>
          </w:tcPr>
          <w:p>
            <w:pPr>
              <w:spacing w:before="0" w:after="60"/>
            </w:pPr>
            <w:r>
              <w:t xml:space="preserve">AML Business-Wide Risk Assessment</w:t>
            </w:r>
          </w:p>
        </w:tc>
        <w:tc>
          <w:tcPr>
            <w:tcW w:w="3249" w:type="dxa"/>
          </w:tcPr>
          <w:p>
            <w:pPr>
              <w:spacing w:before="0" w:after="60"/>
            </w:pPr>
            <w:r>
              <w:t xml:space="preserve">AML_Business_Wide_Risk_Assessment_v2.0_Template.xlsx</w:t>
            </w:r>
          </w:p>
        </w:tc>
        <w:tc>
          <w:tcPr>
            <w:tcW w:w="3250" w:type="dxa"/>
          </w:tcPr>
          <w:p>
            <w:pPr>
              <w:spacing w:before="0" w:after="60"/>
            </w:pPr>
            <w:r>
              <w:t xml:space="preserve">The firm-wide assessment of financial crime risk that drives our controls</w:t>
            </w:r>
          </w:p>
        </w:tc>
      </w:tr>
      <w:tr>
        <w:trPr>
          <w:cantSplit/>
        </w:trPr>
        <w:tc>
          <w:tcPr>
            <w:tcW w:w="2527" w:type="dxa"/>
          </w:tcPr>
          <w:p>
            <w:pPr>
              <w:spacing w:before="0" w:after="60"/>
            </w:pPr>
            <w:r>
              <w:t xml:space="preserve">Conflicts of Interest Register</w:t>
            </w:r>
          </w:p>
        </w:tc>
        <w:tc>
          <w:tcPr>
            <w:tcW w:w="3249" w:type="dxa"/>
          </w:tcPr>
          <w:p>
            <w:pPr>
              <w:spacing w:before="0" w:after="60"/>
            </w:pPr>
            <w:r>
              <w:t xml:space="preserve">Conflicts_of_Interest_Register_v2.0_Template.xlsx</w:t>
            </w:r>
          </w:p>
        </w:tc>
        <w:tc>
          <w:tcPr>
            <w:tcW w:w="3250" w:type="dxa"/>
          </w:tcPr>
          <w:p>
            <w:pPr>
              <w:spacing w:before="0" w:after="60"/>
            </w:pPr>
            <w:r>
              <w:t xml:space="preserve">Conflicts identified and how they are managed</w:t>
            </w:r>
          </w:p>
        </w:tc>
      </w:tr>
      <w:tr>
        <w:trPr>
          <w:cantSplit/>
        </w:trPr>
        <w:tc>
          <w:tcPr>
            <w:tcW w:w="2527" w:type="dxa"/>
          </w:tcPr>
          <w:p>
            <w:pPr>
              <w:spacing w:before="0" w:after="60"/>
            </w:pPr>
            <w:r>
              <w:t xml:space="preserve">Gifts and Hospitality Register</w:t>
            </w:r>
          </w:p>
        </w:tc>
        <w:tc>
          <w:tcPr>
            <w:tcW w:w="3249" w:type="dxa"/>
          </w:tcPr>
          <w:p>
            <w:pPr>
              <w:spacing w:before="0" w:after="60"/>
            </w:pPr>
            <w:r>
              <w:t xml:space="preserve">Gifts_and_Hospitality_Register_v2.0_Template.xlsx</w:t>
            </w:r>
          </w:p>
        </w:tc>
        <w:tc>
          <w:tcPr>
            <w:tcW w:w="3250" w:type="dxa"/>
          </w:tcPr>
          <w:p>
            <w:pPr>
              <w:spacing w:before="0" w:after="60"/>
            </w:pPr>
            <w:r>
              <w:t xml:space="preserve">Gifts and hospitality given, received or declined, and approvals</w:t>
            </w:r>
          </w:p>
        </w:tc>
      </w:tr>
      <w:tr>
        <w:trPr>
          <w:cantSplit/>
        </w:trPr>
        <w:tc>
          <w:tcPr>
            <w:tcW w:w="2527" w:type="dxa"/>
          </w:tcPr>
          <w:p>
            <w:pPr>
              <w:spacing w:before="0" w:after="60"/>
            </w:pPr>
            <w:r>
              <w:t xml:space="preserve">Compliance Breach Log</w:t>
            </w:r>
          </w:p>
        </w:tc>
        <w:tc>
          <w:tcPr>
            <w:tcW w:w="3249" w:type="dxa"/>
          </w:tcPr>
          <w:p>
            <w:pPr>
              <w:spacing w:before="0" w:after="60"/>
            </w:pPr>
            <w:r>
              <w:t xml:space="preserve">Compliance_Breach_Log_v2.0_Template.xlsx</w:t>
            </w:r>
          </w:p>
        </w:tc>
        <w:tc>
          <w:tcPr>
            <w:tcW w:w="3250" w:type="dxa"/>
          </w:tcPr>
          <w:p>
            <w:pPr>
              <w:spacing w:before="0" w:after="60"/>
            </w:pPr>
            <w:r>
              <w:t xml:space="preserve">Every breach, root cause, customer impact, FCA notification decision and remediation</w:t>
            </w:r>
          </w:p>
        </w:tc>
      </w:tr>
      <w:tr>
        <w:trPr>
          <w:cantSplit/>
        </w:trPr>
        <w:tc>
          <w:tcPr>
            <w:tcW w:w="2527" w:type="dxa"/>
          </w:tcPr>
          <w:p>
            <w:pPr>
              <w:spacing w:before="0" w:after="60"/>
            </w:pPr>
            <w:r>
              <w:t xml:space="preserve">Training Log</w:t>
            </w:r>
          </w:p>
        </w:tc>
        <w:tc>
          <w:tcPr>
            <w:tcW w:w="3249" w:type="dxa"/>
          </w:tcPr>
          <w:p>
            <w:pPr>
              <w:spacing w:before="0" w:after="60"/>
            </w:pPr>
            <w:r>
              <w:t xml:space="preserve">Training_Log_v2.0_Template.xlsx</w:t>
            </w:r>
          </w:p>
        </w:tc>
        <w:tc>
          <w:tcPr>
            <w:tcW w:w="3250" w:type="dxa"/>
          </w:tcPr>
          <w:p>
            <w:pPr>
              <w:spacing w:before="0" w:after="60"/>
            </w:pPr>
            <w:r>
              <w:t xml:space="preserve">Every training activity completed, results and next-due dates</w:t>
            </w:r>
          </w:p>
        </w:tc>
      </w:tr>
    </w:tbl>
    <w:p>
      <w:pPr>
        <w:spacing w:before="0" w:after="0"/>
      </w:pPr>
    </w:p>
    <w:sectPr w:rsidR="009F60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51904"/>
    <w:multiLevelType w:val="multilevel"/>
    <w:tmpl w:val="BE58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67E3F"/>
    <w:multiLevelType w:val="multilevel"/>
    <w:tmpl w:val="FF80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7763F"/>
    <w:multiLevelType w:val="multilevel"/>
    <w:tmpl w:val="242E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62D7E"/>
    <w:multiLevelType w:val="multilevel"/>
    <w:tmpl w:val="E9E0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369F9"/>
    <w:multiLevelType w:val="multilevel"/>
    <w:tmpl w:val="6F76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E94C74"/>
    <w:multiLevelType w:val="multilevel"/>
    <w:tmpl w:val="ABCC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C0D96"/>
    <w:multiLevelType w:val="multilevel"/>
    <w:tmpl w:val="E570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06FC1"/>
    <w:multiLevelType w:val="multilevel"/>
    <w:tmpl w:val="415E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0210B"/>
    <w:multiLevelType w:val="multilevel"/>
    <w:tmpl w:val="D696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B267B"/>
    <w:multiLevelType w:val="multilevel"/>
    <w:tmpl w:val="E8BA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E1CFC"/>
    <w:multiLevelType w:val="multilevel"/>
    <w:tmpl w:val="6C7C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9700BA"/>
    <w:multiLevelType w:val="multilevel"/>
    <w:tmpl w:val="020C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1418D6"/>
    <w:multiLevelType w:val="multilevel"/>
    <w:tmpl w:val="E454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465BAB"/>
    <w:multiLevelType w:val="multilevel"/>
    <w:tmpl w:val="D3F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1303A"/>
    <w:multiLevelType w:val="multilevel"/>
    <w:tmpl w:val="B97A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702128"/>
    <w:multiLevelType w:val="multilevel"/>
    <w:tmpl w:val="5E02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956B5E"/>
    <w:multiLevelType w:val="multilevel"/>
    <w:tmpl w:val="64BA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849671">
    <w:abstractNumId w:val="14"/>
  </w:num>
  <w:num w:numId="2" w16cid:durableId="1793358787">
    <w:abstractNumId w:val="8"/>
  </w:num>
  <w:num w:numId="3" w16cid:durableId="1271934485">
    <w:abstractNumId w:val="7"/>
  </w:num>
  <w:num w:numId="4" w16cid:durableId="598409808">
    <w:abstractNumId w:val="2"/>
  </w:num>
  <w:num w:numId="5" w16cid:durableId="2000384835">
    <w:abstractNumId w:val="11"/>
  </w:num>
  <w:num w:numId="6" w16cid:durableId="1475371128">
    <w:abstractNumId w:val="5"/>
  </w:num>
  <w:num w:numId="7" w16cid:durableId="955677867">
    <w:abstractNumId w:val="9"/>
  </w:num>
  <w:num w:numId="8" w16cid:durableId="197544586">
    <w:abstractNumId w:val="16"/>
  </w:num>
  <w:num w:numId="9" w16cid:durableId="1616137898">
    <w:abstractNumId w:val="12"/>
  </w:num>
  <w:num w:numId="10" w16cid:durableId="255137357">
    <w:abstractNumId w:val="4"/>
  </w:num>
  <w:num w:numId="11" w16cid:durableId="557211240">
    <w:abstractNumId w:val="10"/>
  </w:num>
  <w:num w:numId="12" w16cid:durableId="1278635446">
    <w:abstractNumId w:val="1"/>
  </w:num>
  <w:num w:numId="13" w16cid:durableId="452986209">
    <w:abstractNumId w:val="6"/>
  </w:num>
  <w:num w:numId="14" w16cid:durableId="1267271779">
    <w:abstractNumId w:val="3"/>
  </w:num>
  <w:num w:numId="15" w16cid:durableId="933510109">
    <w:abstractNumId w:val="15"/>
  </w:num>
  <w:num w:numId="16" w16cid:durableId="134225714">
    <w:abstractNumId w:val="13"/>
  </w:num>
  <w:num w:numId="17" w16cid:durableId="1609851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D2E"/>
    <w:rsid w:val="001402F0"/>
    <w:rsid w:val="001534A9"/>
    <w:rsid w:val="002C664B"/>
    <w:rsid w:val="002C6FD3"/>
    <w:rsid w:val="00390F4F"/>
    <w:rsid w:val="00404CF3"/>
    <w:rsid w:val="004D6950"/>
    <w:rsid w:val="004F0B8A"/>
    <w:rsid w:val="005863EC"/>
    <w:rsid w:val="005D07DD"/>
    <w:rsid w:val="005F0D2E"/>
    <w:rsid w:val="0074348F"/>
    <w:rsid w:val="00751BD0"/>
    <w:rsid w:val="00990803"/>
    <w:rsid w:val="009F6091"/>
    <w:rsid w:val="00AB5431"/>
    <w:rsid w:val="00AE22FA"/>
    <w:rsid w:val="00C93A68"/>
    <w:rsid w:val="00F67B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2F83C"/>
  <w15:chartTrackingRefBased/>
  <w15:docId w15:val="{1DF47AE4-DE48-4708-BAB1-900769641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D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D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D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D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D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D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D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D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D2E"/>
    <w:rPr>
      <w:rFonts w:eastAsiaTheme="majorEastAsia" w:cstheme="majorBidi"/>
      <w:color w:val="272727" w:themeColor="text1" w:themeTint="D8"/>
    </w:rPr>
  </w:style>
  <w:style w:type="paragraph" w:styleId="Title">
    <w:name w:val="Title"/>
    <w:basedOn w:val="Normal"/>
    <w:next w:val="Normal"/>
    <w:link w:val="TitleChar"/>
    <w:uiPriority w:val="10"/>
    <w:qFormat/>
    <w:rsid w:val="005F0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D2E"/>
    <w:pPr>
      <w:spacing w:before="160"/>
      <w:jc w:val="center"/>
    </w:pPr>
    <w:rPr>
      <w:i/>
      <w:iCs/>
      <w:color w:val="404040" w:themeColor="text1" w:themeTint="BF"/>
    </w:rPr>
  </w:style>
  <w:style w:type="character" w:customStyle="1" w:styleId="QuoteChar">
    <w:name w:val="Quote Char"/>
    <w:basedOn w:val="DefaultParagraphFont"/>
    <w:link w:val="Quote"/>
    <w:uiPriority w:val="29"/>
    <w:rsid w:val="005F0D2E"/>
    <w:rPr>
      <w:i/>
      <w:iCs/>
      <w:color w:val="404040" w:themeColor="text1" w:themeTint="BF"/>
    </w:rPr>
  </w:style>
  <w:style w:type="paragraph" w:styleId="ListParagraph">
    <w:name w:val="List Paragraph"/>
    <w:basedOn w:val="Normal"/>
    <w:uiPriority w:val="34"/>
    <w:qFormat/>
    <w:rsid w:val="005F0D2E"/>
    <w:pPr>
      <w:ind w:left="720"/>
      <w:contextualSpacing/>
    </w:pPr>
  </w:style>
  <w:style w:type="character" w:styleId="IntenseEmphasis">
    <w:name w:val="Intense Emphasis"/>
    <w:basedOn w:val="DefaultParagraphFont"/>
    <w:uiPriority w:val="21"/>
    <w:qFormat/>
    <w:rsid w:val="005F0D2E"/>
    <w:rPr>
      <w:i/>
      <w:iCs/>
      <w:color w:val="0F4761" w:themeColor="accent1" w:themeShade="BF"/>
    </w:rPr>
  </w:style>
  <w:style w:type="paragraph" w:styleId="IntenseQuote">
    <w:name w:val="Intense Quote"/>
    <w:basedOn w:val="Normal"/>
    <w:next w:val="Normal"/>
    <w:link w:val="IntenseQuoteChar"/>
    <w:uiPriority w:val="30"/>
    <w:qFormat/>
    <w:rsid w:val="005F0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D2E"/>
    <w:rPr>
      <w:i/>
      <w:iCs/>
      <w:color w:val="0F4761" w:themeColor="accent1" w:themeShade="BF"/>
    </w:rPr>
  </w:style>
  <w:style w:type="character" w:styleId="IntenseReference">
    <w:name w:val="Intense Reference"/>
    <w:basedOn w:val="DefaultParagraphFont"/>
    <w:uiPriority w:val="32"/>
    <w:qFormat/>
    <w:rsid w:val="005F0D2E"/>
    <w:rPr>
      <w:b/>
      <w:bCs/>
      <w:smallCaps/>
      <w:color w:val="0F4761" w:themeColor="accent1" w:themeShade="BF"/>
      <w:spacing w:val="5"/>
    </w:rPr>
  </w:style>
  <w:style w:type="paragraph" w:styleId="TOCHeading">
    <w:name w:val="TOC Heading"/>
    <w:basedOn w:val="Heading1"/>
    <w:next w:val="Normal"/>
    <w:link w:val="TOCHeadingChar"/>
    <w:uiPriority w:val="39"/>
    <w:unhideWhenUsed/>
    <w:qFormat/>
    <w:rsid w:val="005F0D2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402F0"/>
    <w:pPr>
      <w:tabs>
        <w:tab w:val="right" w:leader="dot" w:pos="9016"/>
      </w:tabs>
      <w:spacing w:after="100"/>
    </w:pPr>
    <w:rPr>
      <w:noProof/>
    </w:rPr>
  </w:style>
  <w:style w:type="character" w:styleId="Hyperlink">
    <w:name w:val="Hyperlink"/>
    <w:basedOn w:val="DefaultParagraphFont"/>
    <w:uiPriority w:val="99"/>
    <w:unhideWhenUsed/>
    <w:rsid w:val="005F0D2E"/>
    <w:rPr>
      <w:color w:val="467886" w:themeColor="hyperlink"/>
      <w:u w:val="single"/>
    </w:rPr>
  </w:style>
  <w:style w:type="paragraph" w:customStyle="1" w:styleId="Heading10">
    <w:name w:val="Heading1"/>
    <w:basedOn w:val="TOCHeading"/>
    <w:link w:val="Heading1Char0"/>
    <w:qFormat/>
    <w:rsid w:val="002C6FD3"/>
    <w:rPr>
      <w:rFonts w:asciiTheme="minorHAnsi" w:eastAsiaTheme="minorHAnsi" w:hAnsiTheme="minorHAnsi" w:cstheme="minorBidi"/>
      <w:color w:val="3A7C22" w:themeColor="accent6" w:themeShade="BF"/>
      <w:kern w:val="2"/>
      <w:sz w:val="22"/>
      <w:szCs w:val="22"/>
      <w:lang w:val="en-GB"/>
      <w14:textFill>
        <w14:solidFill>
          <w14:schemeClr w14:val="accent6">
            <w14:lumMod w14:val="75000"/>
            <w14:lumMod w14:val="75000"/>
          </w14:schemeClr>
        </w14:solidFill>
      </w14:textFill>
      <w14:ligatures w14:val="standardContextual"/>
    </w:rPr>
  </w:style>
  <w:style w:type="character" w:customStyle="1" w:styleId="TOCHeadingChar">
    <w:name w:val="TOC Heading Char"/>
    <w:basedOn w:val="Heading1Char"/>
    <w:link w:val="TOCHeading"/>
    <w:uiPriority w:val="39"/>
    <w:rsid w:val="002C6FD3"/>
    <w:rPr>
      <w:rFonts w:asciiTheme="majorHAnsi" w:eastAsiaTheme="majorEastAsia" w:hAnsiTheme="majorHAnsi" w:cstheme="majorBidi"/>
      <w:color w:val="0F4761" w:themeColor="accent1" w:themeShade="BF"/>
      <w:kern w:val="0"/>
      <w:sz w:val="32"/>
      <w:szCs w:val="32"/>
      <w:lang w:val="en-US"/>
      <w14:ligatures w14:val="none"/>
    </w:rPr>
  </w:style>
  <w:style w:type="character" w:customStyle="1" w:styleId="Heading1Char0">
    <w:name w:val="Heading1 Char"/>
    <w:basedOn w:val="TOCHeadingChar"/>
    <w:link w:val="Heading10"/>
    <w:rsid w:val="002C6FD3"/>
    <w:rPr>
      <w:rFonts w:asciiTheme="majorHAnsi" w:eastAsiaTheme="majorEastAsia" w:hAnsiTheme="majorHAnsi" w:cstheme="majorBidi"/>
      <w:color w:val="3A7C22" w:themeColor="accent6" w:themeShade="BF"/>
      <w:kern w:val="0"/>
      <w:sz w:val="32"/>
      <w:szCs w:val="32"/>
      <w:lang w:val="en-US"/>
      <w14:textFill>
        <w14:solidFill>
          <w14:schemeClr w14:val="accent6">
            <w14:lumMod w14:val="75000"/>
            <w14:lumMod w14:val="75000"/>
          </w14:schemeClr>
        </w14:solidFill>
      </w14:textFill>
      <w14:ligatures w14:val="none"/>
    </w:rPr>
  </w:style>
  <w:style w:type="paragraph" w:customStyle="1" w:styleId="Heading20">
    <w:name w:val="Heading2"/>
    <w:basedOn w:val="Heading10"/>
    <w:link w:val="Heading2Char0"/>
    <w:qFormat/>
    <w:rsid w:val="002C6FD3"/>
    <w:rPr>
      <w:sz w:val="36"/>
    </w:rPr>
  </w:style>
  <w:style w:type="character" w:customStyle="1" w:styleId="Heading2Char0">
    <w:name w:val="Heading2 Char"/>
    <w:basedOn w:val="Heading1Char0"/>
    <w:link w:val="Heading20"/>
    <w:rsid w:val="002C6FD3"/>
    <w:rPr>
      <w:rFonts w:asciiTheme="majorHAnsi" w:eastAsiaTheme="majorEastAsia" w:hAnsiTheme="majorHAnsi" w:cstheme="majorBidi"/>
      <w:color w:val="3A7C22" w:themeColor="accent6" w:themeShade="BF"/>
      <w:kern w:val="0"/>
      <w:sz w:val="36"/>
      <w:szCs w:val="32"/>
      <w:lang w:val="en-US"/>
      <w14:textFill>
        <w14:solidFill>
          <w14:schemeClr w14:val="accent6">
            <w14:lumMod w14:val="75000"/>
            <w14:lumMod w14:val="75000"/>
          </w14:schemeClr>
        </w14:solidFill>
      </w14:textFil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621672">
      <w:bodyDiv w:val="1"/>
      <w:marLeft w:val="0"/>
      <w:marRight w:val="0"/>
      <w:marTop w:val="0"/>
      <w:marBottom w:val="0"/>
      <w:divBdr>
        <w:top w:val="none" w:sz="0" w:space="0" w:color="auto"/>
        <w:left w:val="none" w:sz="0" w:space="0" w:color="auto"/>
        <w:bottom w:val="none" w:sz="0" w:space="0" w:color="auto"/>
        <w:right w:val="none" w:sz="0" w:space="0" w:color="auto"/>
      </w:divBdr>
    </w:div>
    <w:div w:id="571545582">
      <w:bodyDiv w:val="1"/>
      <w:marLeft w:val="0"/>
      <w:marRight w:val="0"/>
      <w:marTop w:val="0"/>
      <w:marBottom w:val="0"/>
      <w:divBdr>
        <w:top w:val="none" w:sz="0" w:space="0" w:color="auto"/>
        <w:left w:val="none" w:sz="0" w:space="0" w:color="auto"/>
        <w:bottom w:val="none" w:sz="0" w:space="0" w:color="auto"/>
        <w:right w:val="none" w:sz="0" w:space="0" w:color="auto"/>
      </w:divBdr>
    </w:div>
    <w:div w:id="925460920">
      <w:bodyDiv w:val="1"/>
      <w:marLeft w:val="0"/>
      <w:marRight w:val="0"/>
      <w:marTop w:val="0"/>
      <w:marBottom w:val="0"/>
      <w:divBdr>
        <w:top w:val="none" w:sz="0" w:space="0" w:color="auto"/>
        <w:left w:val="none" w:sz="0" w:space="0" w:color="auto"/>
        <w:bottom w:val="none" w:sz="0" w:space="0" w:color="auto"/>
        <w:right w:val="none" w:sz="0" w:space="0" w:color="auto"/>
      </w:divBdr>
      <w:divsChild>
        <w:div w:id="722679286">
          <w:marLeft w:val="0"/>
          <w:marRight w:val="0"/>
          <w:marTop w:val="0"/>
          <w:marBottom w:val="0"/>
          <w:divBdr>
            <w:top w:val="none" w:sz="0" w:space="0" w:color="auto"/>
            <w:left w:val="none" w:sz="0" w:space="0" w:color="auto"/>
            <w:bottom w:val="none" w:sz="0" w:space="0" w:color="auto"/>
            <w:right w:val="none" w:sz="0" w:space="0" w:color="auto"/>
          </w:divBdr>
          <w:divsChild>
            <w:div w:id="98003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12772">
      <w:bodyDiv w:val="1"/>
      <w:marLeft w:val="0"/>
      <w:marRight w:val="0"/>
      <w:marTop w:val="0"/>
      <w:marBottom w:val="0"/>
      <w:divBdr>
        <w:top w:val="none" w:sz="0" w:space="0" w:color="auto"/>
        <w:left w:val="none" w:sz="0" w:space="0" w:color="auto"/>
        <w:bottom w:val="none" w:sz="0" w:space="0" w:color="auto"/>
        <w:right w:val="none" w:sz="0" w:space="0" w:color="auto"/>
      </w:divBdr>
      <w:divsChild>
        <w:div w:id="58872323">
          <w:marLeft w:val="0"/>
          <w:marRight w:val="0"/>
          <w:marTop w:val="0"/>
          <w:marBottom w:val="0"/>
          <w:divBdr>
            <w:top w:val="none" w:sz="0" w:space="0" w:color="auto"/>
            <w:left w:val="none" w:sz="0" w:space="0" w:color="auto"/>
            <w:bottom w:val="none" w:sz="0" w:space="0" w:color="auto"/>
            <w:right w:val="none" w:sz="0" w:space="0" w:color="auto"/>
          </w:divBdr>
          <w:divsChild>
            <w:div w:id="158873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15</Pages>
  <Words>1923</Words>
  <Characters>10962</Characters>
  <Application>Microsoft Office Word</Application>
  <DocSecurity>0</DocSecurity>
  <Lines>91</Lines>
  <Paragraphs>25</Paragraphs>
  <ScaleCrop>false</ScaleCrop>
  <Company/>
  <LinksUpToDate>false</LinksUpToDate>
  <CharactersWithSpaces>12860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Matthew Gunn</dc:creator>
  <cp:keywords/>
  <dc:description/>
  <cp:lastModifiedBy>KMS Compliance</cp:lastModifiedBy>
  <cp:revision>11</cp:revision>
  <dcterms:created xsi:type="dcterms:W3CDTF">2026-02-01T10:05:00Z</dcterms:created>
  <dcterms:modified xsi:type="dcterms:W3CDTF">2026-02-01T10:20:00Z</dcterms:modified>
</cp:coreProperties>
</file>