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576B" w14:textId="77777777" w:rsidR="00B008F3" w:rsidRDefault="00B008F3"/>
    <w:p w14:paraId="53B4D1A8" w14:textId="77777777" w:rsidR="00B008F3" w:rsidRDefault="00B008F3"/>
    <w:p w14:paraId="459187E1" w14:textId="77777777" w:rsidR="00B008F3" w:rsidRDefault="00B008F3"/>
    <w:p w14:paraId="2CE3928D" w14:textId="77777777" w:rsidR="00B008F3" w:rsidRDefault="00B008F3"/>
    <w:p w14:paraId="308B8F36" w14:textId="77777777" w:rsidR="00B008F3" w:rsidRDefault="00B008F3"/>
    <w:p w14:paraId="62338A5E" w14:textId="77777777" w:rsidR="00B008F3" w:rsidRDefault="00B008F3"/>
    <w:p w14:paraId="1324CDAF" w14:textId="77777777" w:rsidR="00B008F3" w:rsidRDefault="00B008F3"/>
    <w:p w14:paraId="69592775" w14:textId="77777777" w:rsidR="00B008F3" w:rsidRDefault="00B008F3"/>
    <w:p w14:paraId="1B57652D" w14:textId="77777777" w:rsidR="00B008F3" w:rsidRDefault="00B008F3"/>
    <w:p w14:paraId="2D17BFFB" w14:textId="77777777" w:rsidR="00B008F3" w:rsidRPr="000C1621" w:rsidRDefault="00B008F3">
      <w:pPr>
        <w:rPr>
          <w:color w:val="2F5496" w:themeColor="accent1" w:themeShade="BF"/>
          <w:sz w:val="56"/>
          <w:szCs w:val="56"/>
        </w:rPr>
      </w:pPr>
    </w:p>
    <w:p w14:paraId="0A6312AC" w14:textId="2D7853C5" w:rsidR="00B008F3" w:rsidRPr="000C1621" w:rsidRDefault="00B008F3" w:rsidP="00202739">
      <w:pPr>
        <w:pStyle w:val="Heading1"/>
      </w:pPr>
      <w:r w:rsidRPr="000C1621">
        <w:t xml:space="preserve">Complaints </w:t>
      </w:r>
      <w:r w:rsidR="000C1621" w:rsidRPr="000C1621">
        <w:t>Procedure</w:t>
      </w:r>
    </w:p>
    <w:p w14:paraId="42300A38" w14:textId="77777777" w:rsidR="00B008F3" w:rsidRDefault="00B008F3">
      <w:r>
        <w:t xml:space="preserve">Last reviewed by: </w:t>
      </w:r>
      <w:r>
        <w:rPr>
          <w:b/>
          <w:bCs/>
          <w:highlight w:val="yellow"/>
        </w:rPr>
        <w:t xml:space="preserve">[Insert name and role of the person who last reviewed this document]</w:t>
      </w:r>
    </w:p>
    <w:p w14:paraId="528DD213" w14:textId="77777777" w:rsidR="00B008F3" w:rsidRDefault="00B008F3">
      <w:r>
        <w:t xml:space="preserve">Last reviewed date: </w:t>
      </w:r>
      <w:r>
        <w:rPr>
          <w:b/>
          <w:bCs/>
          <w:highlight w:val="yellow"/>
        </w:rPr>
        <w:t xml:space="preserve">[Insert date]</w:t>
      </w:r>
    </w:p>
    <w:p w14:paraId="3F7E21C9" w14:textId="77777777" w:rsidR="00B008F3" w:rsidRDefault="00B008F3">
      <w:r>
        <w:t xml:space="preserve">Scheduled review date: </w:t>
      </w:r>
      <w:r>
        <w:rPr>
          <w:b/>
          <w:bCs/>
          <w:highlight w:val="yellow"/>
        </w:rPr>
        <w:t xml:space="preserve">[Insert date – no later than 12 months after the last review]</w:t>
      </w:r>
    </w:p>
    <w:p w14:paraId="10AB8947" w14:textId="77777777" w:rsidR="000C1621" w:rsidRDefault="00B008F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10AB8947" w14:textId="77777777" w:rsidR="000C1621" w:rsidRDefault="00B008F3">
      <w:r>
        <w:t xml:space="preserve">Version: </w:t>
      </w:r>
      <w:r>
        <w:rPr>
          <w:b/>
          <w:bCs/>
          <w:highlight w:val="yellow"/>
        </w:rPr>
        <w:t xml:space="preserve">[Insert version number, e.g. 1.0]</w:t>
      </w:r>
    </w:p>
    <w:p w14:paraId="65922D53" w14:textId="4715214E" w:rsidR="00B008F3" w:rsidRDefault="00B008F3">
      <w:pPr>
        <w:rPr>
          <w:rFonts w:asciiTheme="majorHAnsi" w:eastAsiaTheme="majorEastAsia" w:hAnsiTheme="majorHAnsi" w:cstheme="majorBidi"/>
          <w:color w:val="2F5496" w:themeColor="accent1" w:themeShade="BF"/>
          <w:sz w:val="32"/>
          <w:szCs w:val="32"/>
        </w:rPr>
      </w:pPr>
      <w: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procedure.</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of complaints handling where the FCA rules genuinely differ between regulated activities.</w:t>
      </w:r>
    </w:p>
    <w:p>
      <w:pPr>
        <w:pStyle w:val="ListParagraph"/>
        <w:numPr>
          <w:ilvl w:val="0"/>
          <w:numId w:val="4"/>
        </w:numPr>
      </w:pPr>
      <w:r>
        <w:rPr>
          <w:b/>
          <w:bCs/>
        </w:rPr>
        <w:t xml:space="preserve">Yellow highlighted text in square brackets</w:t>
      </w:r>
      <w:r>
        <w:t xml:space="preserve"> is a placeholder. Replace every one with your firm’s own details and remove the brackets. Before you finish, search the document for “[” to make sure none are left.</w:t>
      </w:r>
    </w:p>
    <w:p>
      <w:pPr>
        <w:pStyle w:val="ListParagraph"/>
        <w:numPr>
          <w:ilvl w:val="0"/>
          <w:numId w:val="4"/>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4"/>
        </w:numPr>
      </w:pPr>
      <w:r>
        <w:t xml:space="preserve">Each option is written to stand alone. It does not rely on wording, numbering or definitions in any other option, so deleting one never requires you to edit another. Options are labelled with the section number and a letter (for example 7A, 7C). Gaps in the lettering after you delete options are expected and do not need to be renumbered.</w:t>
      </w:r>
    </w:p>
    <w:p>
      <w:pPr>
        <w:pStyle w:val="ListParagraph"/>
        <w:numPr>
          <w:ilvl w:val="0"/>
          <w:numId w:val="4"/>
        </w:numPr>
      </w:pPr>
      <w:r>
        <w:rPr>
          <w:b/>
          <w:bCs/>
        </w:rPr>
        <w:t xml:space="preserve">Grey “KMS guidance” boxes</w:t>
      </w:r>
      <w:r>
        <w:t xml:space="preserve"> explain what a section needs and how to complete it. Delete them once you have acted on them.</w:t>
      </w:r>
    </w:p>
    <w:p>
      <w:pPr>
        <w:pStyle w:val="ListParagraph"/>
        <w:numPr>
          <w:ilvl w:val="0"/>
          <w:numId w:val="4"/>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4"/>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This procedure must reflect what your firm will actually do. The FCA will test it against your systems, staff and resources. Do not keep commitments (for example a same-day acknowledgement) that you cannot meet in practice.</w:t>
      </w:r>
    </w:p>
    <w:p>
      <w:pPr>
        <w:pStyle w:val="Heading1"/>
        <w:outlineLvl w:val="0"/>
      </w:pPr>
      <w:r>
        <w:t xml:space="preserve">1. Purpose and scope</w:t>
      </w:r>
    </w:p>
    <w:p>
      <w:r>
        <w:t xml:space="preserve">This procedure explains how </w:t>
      </w:r>
      <w:r>
        <w:rPr>
          <w:b/>
          <w:bCs/>
          <w:highlight w:val="yellow"/>
        </w:rPr>
        <w:t xml:space="preserve">[Insert firm legal name]</w:t>
      </w:r>
      <w:r>
        <w:t xml:space="preserve"> (“we”, “us”, “the firm”) receives, investigates, resolves and learns from complaints. It is designed to meet the FCA’s Dispute Resolution: Complaints sourcebook (</w:t>
      </w:r>
      <w:r>
        <w:rPr>
          <w:b/>
          <w:bCs/>
        </w:rPr>
        <w:t xml:space="preserve">DISP</w:t>
      </w:r>
      <w:r>
        <w:t xml:space="preserve">), the consumer support and consumer understanding outcomes of the </w:t>
      </w:r>
      <w:r>
        <w:rPr>
          <w:b/>
          <w:bCs/>
        </w:rPr>
        <w:t xml:space="preserve">Consumer Duty</w:t>
      </w:r>
      <w:r>
        <w:t xml:space="preserve"> (PRIN 2A), and Principle 6 (customers’ interests) and Principle 12 (the Consumer Principle) of the FCA’s Principles for Businesses.</w:t>
      </w:r>
    </w:p>
    <w:p>
      <w:r>
        <w:t xml:space="preserve">We see complaints as valuable feedback. Handled well, they allow us to put things right for the individual customer and to find and fix the underlying causes of poor outcomes for other customers.</w:t>
      </w:r>
    </w:p>
    <w:p>
      <w:r>
        <w:t xml:space="preserve">This procedure applies to:</w:t>
      </w:r>
    </w:p>
    <w:p>
      <w:pPr>
        <w:pStyle w:val="ListParagraph"/>
        <w:numPr>
          <w:ilvl w:val="0"/>
          <w:numId w:val="4"/>
        </w:numPr>
      </w:pPr>
      <w:r>
        <w:t xml:space="preserve">every complaint about our regulated activities: </w:t>
      </w:r>
      <w:r>
        <w:rPr>
          <w:b/>
          <w:bCs/>
          <w:highlight w:val="yellow"/>
        </w:rPr>
        <w:t xml:space="preserve">[Specify the regulated activities / permissions your firm holds or is applying for, e.g. credit broking; insurance distribution]</w:t>
      </w:r>
      <w:r>
        <w:t xml:space="preserve">;</w:t>
      </w:r>
    </w:p>
    <w:p>
      <w:pPr>
        <w:pStyle w:val="ListParagraph"/>
        <w:numPr>
          <w:ilvl w:val="0"/>
          <w:numId w:val="4"/>
        </w:numPr>
      </w:pPr>
      <w:r>
        <w:t xml:space="preserve">complaints about unregulated activities that are connected to our regulated business, where the Financial Ombudsman Service (the “Ombudsman”) could have jurisdiction; and</w:t>
      </w:r>
    </w:p>
    <w:p>
      <w:pPr>
        <w:pStyle w:val="ListParagraph"/>
        <w:numPr>
          <w:ilvl w:val="0"/>
          <w:numId w:val="4"/>
        </w:numPr>
      </w:pPr>
      <w:r>
        <w:t xml:space="preserve">all of our staff, directors, contractors </w:t>
      </w:r>
      <w:r>
        <w:rPr>
          <w:b/>
          <w:bCs/>
          <w:highlight w:val="yellow"/>
        </w:rPr>
        <w:t xml:space="preserve">[and appointed representatives – delete if you have none]</w:t>
      </w:r>
      <w:r>
        <w:t xml:space="preserve">, whoever first receives the complaint.</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If you have appointed representatives (ARs), you are responsible for complaints about their regulated activities. Explain here how ARs pass complaints to you and how you oversee their handling.</w:t>
      </w:r>
    </w:p>
    <w:p>
      <w:pPr>
        <w:pStyle w:val="Heading1"/>
        <w:outlineLvl w:val="0"/>
      </w:pPr>
      <w:r>
        <w:t xml:space="preserve">2. What is a complaint?</w:t>
      </w:r>
    </w:p>
    <w:p>
      <w:r>
        <w:t xml:space="preserve">We use the FCA’s definition. A complaint is </w:t>
      </w:r>
      <w:r>
        <w:rPr>
          <w:b/>
          <w:bCs/>
        </w:rPr>
        <w:t xml:space="preserve">any oral or written expression of dissatisfaction, whether justified or not</w:t>
      </w:r>
      <w:r>
        <w:t xml:space="preserve">, from, or on behalf of, a person about the provision of, or failure to provide, a financial service (or a redress determination), which alleges that the person has suffered, or may suffer, financial loss, material distress or material inconvenience.</w:t>
      </w:r>
    </w:p>
    <w:p>
      <w:r>
        <w:t xml:space="preserve">In practice this means:</w:t>
      </w:r>
    </w:p>
    <w:p>
      <w:pPr>
        <w:pStyle w:val="ListParagraph"/>
        <w:numPr>
          <w:ilvl w:val="0"/>
          <w:numId w:val="4"/>
        </w:numPr>
      </w:pPr>
      <w:r>
        <w:t xml:space="preserve">A complaint can be made in </w:t>
      </w:r>
      <w:r>
        <w:rPr>
          <w:b/>
          <w:bCs/>
        </w:rPr>
        <w:t xml:space="preserve">any way</w:t>
      </w:r>
      <w:r>
        <w:t xml:space="preserve"> – by telephone, email, letter, web form, social media message or in person. The customer does not need to use the word “complaint”, fill in a form, or put it in writing.</w:t>
      </w:r>
    </w:p>
    <w:p>
      <w:pPr>
        <w:pStyle w:val="ListParagraph"/>
        <w:numPr>
          <w:ilvl w:val="0"/>
          <w:numId w:val="4"/>
        </w:numPr>
      </w:pPr>
      <w:r>
        <w:t xml:space="preserve">A complaint can be made by the customer or by someone acting on their behalf (for example a family member, a person with power of attorney, a solicitor or a claims management company). We will confirm the representative’s authority proportionately and without creating unnecessary barriers.</w:t>
      </w:r>
    </w:p>
    <w:p>
      <w:pPr>
        <w:pStyle w:val="ListParagraph"/>
        <w:numPr>
          <w:ilvl w:val="0"/>
          <w:numId w:val="4"/>
        </w:numPr>
      </w:pPr>
      <w:r>
        <w:t xml:space="preserve">If there is any doubt about whether something is a complaint, we treat it as one.</w:t>
      </w:r>
    </w:p>
    <w:p>
      <w:pPr>
        <w:pStyle w:val="ListParagraph"/>
        <w:numPr>
          <w:ilvl w:val="0"/>
          <w:numId w:val="4"/>
        </w:numPr>
      </w:pPr>
      <w:r>
        <w:t xml:space="preserve">We do not charge for handling complaints, and we never ask a customer to give up their right to complain as a condition of settling a dispute.</w:t>
      </w:r>
    </w:p>
    <w:p>
      <w:r>
        <w:rPr>
          <w:b/>
          <w:bCs/>
        </w:rPr>
        <w:t xml:space="preserve">Eligible complainants.</w:t>
      </w:r>
      <w:r>
        <w:t xml:space="preserve"> The Ombudsman can consider complaints from “eligible complainants” as defined in DISP 2.7. These include consumers, micro-enterprises and certain small businesses, charities and trusts that meet DISP thresholds, and guarantors. We handle complaints from any person fairly, but the DISP time limits and Ombudsman referral rights described below apply to eligible complainants.</w:t>
      </w:r>
    </w:p>
    <w:p>
      <w:r>
        <w:rPr>
          <w:b/>
          <w:bCs/>
        </w:rPr>
        <w:t xml:space="preserve">There is no firm-imposed deadline for complaining.</w:t>
      </w:r>
      <w:r>
        <w:t xml:space="preserve"> We do not refuse to consider a complaint because the customer has not complained within a set period after the event. The only time limits are the Ombudsman’s own time limits (see section 6).</w:t>
      </w:r>
    </w:p>
    <w:p>
      <w:pPr>
        <w:pStyle w:val="Heading1"/>
        <w:outlineLvl w:val="0"/>
      </w:pPr>
      <w:r>
        <w:t xml:space="preserve">3. How customers can complain</w:t>
      </w:r>
    </w:p>
    <w:p>
      <w:r>
        <w:t xml:space="preserve">Customers can complain to us using any of the following channels:</w:t>
      </w:r>
    </w:p>
    <w:p>
      <w:pPr>
        <w:pStyle w:val="ListParagraph"/>
        <w:numPr>
          <w:ilvl w:val="0"/>
          <w:numId w:val="4"/>
        </w:numPr>
      </w:pPr>
      <w:r>
        <w:t xml:space="preserve">Telephone: </w:t>
      </w:r>
      <w:r>
        <w:rPr>
          <w:b/>
          <w:bCs/>
          <w:highlight w:val="yellow"/>
        </w:rPr>
        <w:t xml:space="preserve">[Insert telephone number and opening hours]</w:t>
      </w:r>
    </w:p>
    <w:p>
      <w:pPr>
        <w:pStyle w:val="ListParagraph"/>
        <w:numPr>
          <w:ilvl w:val="0"/>
          <w:numId w:val="4"/>
        </w:numPr>
      </w:pPr>
      <w:r>
        <w:t xml:space="preserve">Email: </w:t>
      </w:r>
      <w:r>
        <w:rPr>
          <w:b/>
          <w:bCs/>
          <w:highlight w:val="yellow"/>
        </w:rPr>
        <w:t xml:space="preserve">[Insert complaints email address]</w:t>
      </w:r>
    </w:p>
    <w:p>
      <w:pPr>
        <w:pStyle w:val="ListParagraph"/>
        <w:numPr>
          <w:ilvl w:val="0"/>
          <w:numId w:val="4"/>
        </w:numPr>
      </w:pPr>
      <w:r>
        <w:t xml:space="preserve">Post: </w:t>
      </w:r>
      <w:r>
        <w:rPr>
          <w:b/>
          <w:bCs/>
          <w:highlight w:val="yellow"/>
        </w:rPr>
        <w:t xml:space="preserve">[Insert postal address]</w:t>
      </w:r>
    </w:p>
    <w:p>
      <w:pPr>
        <w:pStyle w:val="ListParagraph"/>
        <w:numPr>
          <w:ilvl w:val="0"/>
          <w:numId w:val="4"/>
        </w:numPr>
      </w:pPr>
      <w:r>
        <w:t xml:space="preserve">Online: </w:t>
      </w:r>
      <w:r>
        <w:rPr>
          <w:b/>
          <w:bCs/>
          <w:highlight w:val="yellow"/>
        </w:rPr>
        <w:t xml:space="preserve">[Insert web form link or delete]</w:t>
      </w:r>
    </w:p>
    <w:p>
      <w:pPr>
        <w:pStyle w:val="ListParagraph"/>
        <w:numPr>
          <w:ilvl w:val="0"/>
          <w:numId w:val="4"/>
        </w:numPr>
      </w:pPr>
      <w:r>
        <w:t xml:space="preserve">In person: </w:t>
      </w:r>
      <w:r>
        <w:rPr>
          <w:b/>
          <w:bCs/>
          <w:highlight w:val="yellow"/>
        </w:rPr>
        <w:t xml:space="preserve">[Insert branch/office address and opening hours, or delete]</w:t>
      </w:r>
    </w:p>
    <w:p>
      <w:pPr>
        <w:pStyle w:val="ListParagraph"/>
        <w:numPr>
          <w:ilvl w:val="0"/>
          <w:numId w:val="4"/>
        </w:numPr>
      </w:pPr>
      <w:r>
        <w:t xml:space="preserve">Social media: </w:t>
      </w:r>
      <w:r>
        <w:rPr>
          <w:b/>
          <w:bCs/>
          <w:highlight w:val="yellow"/>
        </w:rPr>
        <w:t xml:space="preserve">[Insert the social media channels you monitor, or delete]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Confirm the contact methods you will really support. The Consumer Duty expects post-sale support to be as accessible as the sales journey – for example, if customers can apply online, they should be able to complain online. Offer reasonable adjustments (Equality Act 2010) such as large print, relay services or extra time.</w:t>
      </w:r>
    </w:p>
    <w:p>
      <w:r>
        <w:t xml:space="preserve">We publish a summary of this procedure on our website at </w:t>
      </w:r>
      <w:r>
        <w:rPr>
          <w:b/>
          <w:bCs/>
          <w:highlight w:val="yellow"/>
        </w:rPr>
        <w:t xml:space="preserve">[Insert web page address]</w:t>
      </w:r>
      <w:r>
        <w:t xml:space="preserve"> and provide it free of charge on request and when we acknowledge a complaint (DISP 1.2). The customer-facing summary is in Appendix A.</w:t>
      </w:r>
    </w:p>
    <w:p>
      <w:pPr>
        <w:pStyle w:val="Heading1"/>
        <w:outlineLvl w:val="0"/>
      </w:pPr>
      <w:r>
        <w:t xml:space="preserve">4. How we handle a complaint</w:t>
      </w:r>
    </w:p>
    <w:p>
      <w:r>
        <w:t xml:space="preserve">The same process applies to every complaint, whatever channel it arrives through.</w:t>
      </w:r>
    </w:p>
    <w:p>
      <w:r>
        <w:rPr>
          <w:b/>
          <w:bCs/>
        </w:rPr>
        <w:t xml:space="preserve">Step 1 – Record.</w:t>
      </w:r>
      <w:r>
        <w:t xml:space="preserve"> The person who receives the complaint records it in our Complaints Register (Appendix B) by the end of the next business day, and passes it to </w:t>
      </w:r>
      <w:r>
        <w:rPr>
          <w:b/>
          <w:bCs/>
          <w:highlight w:val="yellow"/>
        </w:rPr>
        <w:t xml:space="preserve">[Insert name or role of the person who handles complaints]</w:t>
      </w:r>
      <w:r>
        <w:t xml:space="preserve">. We record the date the complaint was received – the DISP time limits run from that date, not from the date it reaches the complaints handler.</w:t>
      </w:r>
    </w:p>
    <w:p>
      <w:r>
        <w:rPr>
          <w:b/>
          <w:bCs/>
        </w:rPr>
        <w:t xml:space="preserve">Step 2 – Acknowledge.</w:t>
      </w:r>
      <w:r>
        <w:t xml:space="preserve"> We send the complainant a prompt written acknowledgement, normally within </w:t>
      </w:r>
      <w:r>
        <w:rPr>
          <w:b/>
          <w:bCs/>
          <w:highlight w:val="yellow"/>
        </w:rPr>
        <w:t xml:space="preserve">[Insert number – we suggest no more than 5]</w:t>
      </w:r>
      <w:r>
        <w:t xml:space="preserve"> business days, giving the name or role of the person handling it, a copy of (or link to) our complaints summary, and what they can expect next (DISP 1.6.1R).</w:t>
      </w:r>
    </w:p>
    <w:p>
      <w:r>
        <w:rPr>
          <w:b/>
          <w:bCs/>
        </w:rPr>
        <w:t xml:space="preserve">Step 3 – Resolve quickly where we can.</w:t>
      </w:r>
      <w:r>
        <w:t xml:space="preserve"> If we resolve the complaint to the complainant’s satisfaction by the close of the </w:t>
      </w:r>
      <w:r>
        <w:rPr>
          <w:b/>
          <w:bCs/>
        </w:rPr>
        <w:t xml:space="preserve">third business day</w:t>
      </w:r>
      <w:r>
        <w:t xml:space="preserve"> after the day we received it, we may send a </w:t>
      </w:r>
      <w:r>
        <w:rPr>
          <w:b/>
          <w:bCs/>
        </w:rPr>
        <w:t xml:space="preserve">summary resolution communication</w:t>
      </w:r>
      <w:r>
        <w:t xml:space="preserve"> instead of a final response. It must tell the complainant that we consider the complaint resolved, that they can refer it to the Ombudsman if they later become dissatisfied, and give the Ombudsman’s website address (DISP 1.5).</w:t>
      </w:r>
    </w:p>
    <w:p>
      <w:r>
        <w:rPr>
          <w:b/>
          <w:bCs/>
        </w:rPr>
        <w:t xml:space="preserve">Step 4 – Investigate.</w:t>
      </w:r>
      <w:r>
        <w:t xml:space="preserve"> Where the complaint is not resolved at Step 3, the investigation will be carried out competently, diligently and impartially by someone who was not directly involved in the matter complained about wherever that is possible in our firm (DISP 1.4.1R). We will:</w:t>
      </w:r>
    </w:p>
    <w:p>
      <w:pPr>
        <w:pStyle w:val="ListParagraph"/>
        <w:numPr>
          <w:ilvl w:val="0"/>
          <w:numId w:val="4"/>
        </w:numPr>
      </w:pPr>
      <w:r>
        <w:t xml:space="preserve">identify all the points the complainant has raised, and check our understanding with them where it is unclear;</w:t>
      </w:r>
    </w:p>
    <w:p>
      <w:pPr>
        <w:pStyle w:val="ListParagraph"/>
        <w:numPr>
          <w:ilvl w:val="0"/>
          <w:numId w:val="4"/>
        </w:numPr>
      </w:pPr>
      <w:r>
        <w:t xml:space="preserve">gather the relevant evidence (customer file, call recordings, emails, system notes, third-party information);</w:t>
      </w:r>
    </w:p>
    <w:p>
      <w:pPr>
        <w:pStyle w:val="ListParagraph"/>
        <w:numPr>
          <w:ilvl w:val="0"/>
          <w:numId w:val="4"/>
        </w:numPr>
      </w:pPr>
      <w:r>
        <w:t xml:space="preserve">assess the complaint fairly, consistently and promptly, taking into account relevant FCA rules and guidance, the law and any relevant Ombudsman decisions; and</w:t>
      </w:r>
    </w:p>
    <w:p>
      <w:pPr>
        <w:pStyle w:val="ListParagraph"/>
        <w:numPr>
          <w:ilvl w:val="0"/>
          <w:numId w:val="4"/>
        </w:numPr>
      </w:pPr>
      <w:r>
        <w:t xml:space="preserve">keep the complainant informed of progress.</w:t>
      </w:r>
    </w:p>
    <w:p>
      <w:r>
        <w:rPr>
          <w:b/>
          <w:bCs/>
        </w:rPr>
        <w:t xml:space="preserve">Step 5 – Put things right.</w:t>
      </w:r>
      <w:r>
        <w:t xml:space="preserve"> Where we uphold a complaint, in full or in part, we will offer fair redress. This aims to put the customer back in the position they would have been in if things had not gone wrong, and may include: correcting the error; refunding fees or charges; compensating for financial loss (with interest where appropriate); compensating for distress and inconvenience; correcting records (including credit files, where relevant); and an apology. We pay agreed redress promptly – within </w:t>
      </w:r>
      <w:r>
        <w:rPr>
          <w:b/>
          <w:bCs/>
          <w:highlight w:val="yellow"/>
        </w:rPr>
        <w:t xml:space="preserve">[Insert number, e.g. 28]</w:t>
      </w:r>
      <w:r>
        <w:t xml:space="preserve"> days of the complainant accepting it.</w:t>
      </w:r>
    </w:p>
    <w:p>
      <w:r>
        <w:rPr>
          <w:b/>
          <w:bCs/>
        </w:rPr>
        <w:t xml:space="preserve">Step 6 – Final response.</w:t>
      </w:r>
      <w:r>
        <w:t xml:space="preserve"> We send a written </w:t>
      </w:r>
      <w:r>
        <w:rPr>
          <w:b/>
          <w:bCs/>
        </w:rPr>
        <w:t xml:space="preserve">final response</w:t>
      </w:r>
      <w:r>
        <w:t xml:space="preserve"> that accepts or rejects the complaint with clear reasons, sets out any redress offered, tells the complainant they may refer the complaint to the Ombudsman within six months, gives the Ombudsman’s website address and includes (or links to) the Ombudsman’s standard explanatory leaflet, and states whether we consent to the Ombudsman considering a complaint that is outside its time limits (DISP 1.6.2R and DISP 1 Annex 3R).</w:t>
      </w:r>
    </w:p>
    <w:p>
      <w:r>
        <w:rPr>
          <w:b/>
          <w:bCs/>
        </w:rPr>
        <w:t xml:space="preserve">Step 7 – Close and learn.</w:t>
      </w:r>
      <w:r>
        <w:t xml:space="preserve"> We record the outcome, redress and root cause in the Complaints Register and consider whether other customers could have been affected in the same way (see section 9).</w:t>
      </w:r>
    </w:p>
    <w:p>
      <w:r>
        <w:rPr>
          <w:b/>
          <w:bCs/>
        </w:rPr>
        <w:t xml:space="preserve">Complaints involving another firm.</w:t>
      </w:r>
      <w:r>
        <w:t xml:space="preserve"> If we believe another firm (for example a lender, insurer or product provider) is solely or jointly responsible for what is complained about, we will promptly forward the complaint, or the relevant part of it, to that firm in writing, tell the complainant why and give them the other firm’s contact details (DISP 1.7). Where we are jointly responsible, we will still deal with our part of the complaint.</w:t>
      </w:r>
    </w:p>
    <w:p>
      <w:pPr>
        <w:pStyle w:val="Heading1"/>
        <w:outlineLvl w:val="0"/>
      </w:pPr>
      <w:r>
        <w:t xml:space="preserve">5. How long we take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one option that applies. Firms that provide payment services </w:t>
      </w:r>
      <w:r>
        <w:rPr>
          <w:i/>
          <w:iCs/>
          <w:b/>
          <w:bCs/>
        </w:rPr>
        <w:t xml:space="preserve">and</w:t>
      </w:r>
      <w:r>
        <w:rPr>
          <w:i/>
          <w:iCs/>
        </w:rPr>
        <w:t xml:space="preserve"> other regulated activities should keep Option 5B only, because it covers both types of complaint.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5A — Firms that do not provide payment services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does NOT provide payment services or issue e-money (this applies to consumer credit, insurance distribution, mortgage and investment firms). Otherwise DELETE everything from this START banner down to and including the matching END OF OPTION 5A banner. Each option is self-contained, so nothing else in the document needs to change.]</w:t>
      </w:r>
    </w:p>
    <w:p>
      <w:r>
        <w:rPr>
          <w:b/>
          <w:bCs/>
        </w:rPr>
        <w:t xml:space="preserve">The eight-week rule.</w:t>
      </w:r>
      <w:r>
        <w:t xml:space="preserve"> We will send a final response within </w:t>
      </w:r>
      <w:r>
        <w:rPr>
          <w:b/>
          <w:bCs/>
        </w:rPr>
        <w:t xml:space="preserve">eight weeks</w:t>
      </w:r>
      <w:r>
        <w:t xml:space="preserve"> of receiving a complaint (DISP 1.6.2R). A complaint is received when any member of our staff or anyone acting for us first receives it, by any channel.</w:t>
      </w:r>
    </w:p>
    <w:p>
      <w:r>
        <w:t xml:space="preserve">If we cannot send a final response within eight weeks, we will send a written response by the end of the eighth week that explains why we are not yet in a position to resolve the complaint, indicates when we expect to be able to do so, and tells the complainant that they may now refer the complaint to the Ombudsman, giving the Ombudsman’s website address and a copy of (or link to) the Ombudsman’s standard explanatory leaflet.</w:t>
      </w:r>
    </w:p>
    <w:p>
      <w:r>
        <w:t xml:space="preserve">We aim to resolve most complaints well within eight weeks: </w:t>
      </w:r>
      <w:r>
        <w:rPr>
          <w:b/>
          <w:bCs/>
          <w:highlight w:val="yellow"/>
        </w:rPr>
        <w:t xml:space="preserve">[Insert internal target, e.g. 80% of complaints resolved within four weeks]</w:t>
      </w:r>
      <w:r>
        <w:t xml:space="preserve">. The eight-week period is a maximum, not a target.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5A — Firms that do not provide payment services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5B — Payment services and e-money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or account information services) or issues electronic money. Otherwise DELETE everything from this START banner down to and including the matching END OF OPTION 5B banner. Each option is self-contained, so nothing else in the document needs to change.]</w:t>
      </w:r>
    </w:p>
    <w:p>
      <w:r>
        <w:rPr>
          <w:b/>
          <w:bCs/>
        </w:rPr>
        <w:t xml:space="preserve">Complaints about payment services rights and obligations – 15 business days.</w:t>
      </w:r>
      <w:r>
        <w:t xml:space="preserve"> Where a complaint relates to rights and obligations under Parts 6 and 7 of the Payment Services Regulations 2017 (or the equivalent provisions for e-money), we will send a final response by the end of </w:t>
      </w:r>
      <w:r>
        <w:rPr>
          <w:b/>
          <w:bCs/>
        </w:rPr>
        <w:t xml:space="preserve">15 business days</w:t>
      </w:r>
      <w:r>
        <w:t xml:space="preserve"> after the day we received it (DISP 1.6.2AR). In exceptional situations, where we cannot give a final response in that time for reasons beyond our control, we will send a holding reply within the 15 business days that clearly explains the reasons for the delay and the deadline by which we will send the final response, which will be no later than the end of </w:t>
      </w:r>
      <w:r>
        <w:rPr>
          <w:b/>
          <w:bCs/>
        </w:rPr>
        <w:t xml:space="preserve">35 business days</w:t>
      </w:r>
      <w:r>
        <w:t xml:space="preserve"> after the day we received the complaint.</w:t>
      </w:r>
    </w:p>
    <w:p>
      <w:r>
        <w:rPr>
          <w:b/>
          <w:bCs/>
        </w:rPr>
        <w:t xml:space="preserve">All other complaints – eight weeks.</w:t>
      </w:r>
      <w:r>
        <w:t xml:space="preserve"> For any complaint that does not relate to those rights and obligations, we will send a final response within </w:t>
      </w:r>
      <w:r>
        <w:rPr>
          <w:b/>
          <w:bCs/>
        </w:rPr>
        <w:t xml:space="preserve">eight weeks</w:t>
      </w:r>
      <w:r>
        <w:t xml:space="preserve"> of receiving it (DISP 1.6.2R). If we cannot, we will send a written response by the end of the eighth week explaining why, when we expect to resolve it, and that the complainant may now refer the complaint to the Ombudsman, with the Ombudsman’s website address and explanatory leaflet.</w:t>
      </w:r>
    </w:p>
    <w:p>
      <w:r>
        <w:t xml:space="preserve">A complaint is received when any member of our staff, or anyone acting for us (including an agent or distributor), first receives it, by any channel. We aim to resolve complaints well within these maximum periods: </w:t>
      </w:r>
      <w:r>
        <w:rPr>
          <w:b/>
          <w:bCs/>
          <w:highlight w:val="yellow"/>
        </w:rPr>
        <w:t xml:space="preserve">[Insert internal target]</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5B — Payment services and e-money firms</w:t>
      </w:r>
    </w:p>
    <w:p>
      <w:pPr>
        <w:pStyle w:val="Heading1"/>
        <w:outlineLvl w:val="0"/>
      </w:pPr>
      <w:r>
        <w:t xml:space="preserve">6. The Financial Ombudsman Service</w:t>
      </w:r>
    </w:p>
    <w:p>
      <w:r>
        <w:t xml:space="preserve">If a complainant is unhappy with our final response, or we have not resolved the complaint within the time limits in section 5, an eligible complainant can refer it to the Financial Ombudsman Service free of charge. The Ombudsman is independent of us and its decisions, if accepted by the complainant, are binding on us.</w:t>
      </w:r>
    </w:p>
    <w:p>
      <w:r>
        <w:rPr>
          <w:b/>
          <w:bCs/>
        </w:rPr>
        <w:t xml:space="preserve">Time limits.</w:t>
      </w:r>
      <w:r>
        <w:t xml:space="preserve"> The complainant must normally refer the complaint to the Ombudsman within </w:t>
      </w:r>
      <w:r>
        <w:rPr>
          <w:b/>
          <w:bCs/>
        </w:rPr>
        <w:t xml:space="preserve">six months</w:t>
      </w:r>
      <w:r>
        <w:t xml:space="preserve"> of the date of our final response. The Ombudsman also generally cannot consider a complaint made more than </w:t>
      </w:r>
      <w:r>
        <w:rPr>
          <w:b/>
          <w:bCs/>
        </w:rPr>
        <w:t xml:space="preserve">six years</w:t>
      </w:r>
      <w:r>
        <w:t xml:space="preserve"> after the event complained about or, if later, more than </w:t>
      </w:r>
      <w:r>
        <w:rPr>
          <w:b/>
          <w:bCs/>
        </w:rPr>
        <w:t xml:space="preserve">three years</w:t>
      </w:r>
      <w:r>
        <w:t xml:space="preserve"> after the complainant became aware (or ought reasonably to have become aware) that they had cause to complain (DISP 2.8). The Ombudsman can consider a complaint outside these limits if we consent or there are exceptional circumstances.</w:t>
      </w:r>
    </w:p>
    <w:p>
      <w:r>
        <w:rPr>
          <w:b/>
          <w:bCs/>
        </w:rPr>
        <w:t xml:space="preserve">Contact details:</w:t>
      </w:r>
      <w:r>
        <w:t xml:space="preserve"> Financial Ombudsman Service, Exchange Tower, London E14 9SR. Telephone 0800 023 4567. Website: www.financial-ombudsman.org.uk.</w:t>
      </w:r>
    </w:p>
    <w:p>
      <w:r>
        <w:rPr>
          <w:b/>
          <w:bCs/>
        </w:rPr>
        <w:t xml:space="preserve">Award limits.</w:t>
      </w:r>
      <w:r>
        <w:t xml:space="preserve"> The Ombudsman can award compensation up to its award limit, which is adjusted each year in line with inflation. For complaints referred on or after 1 April 2026 about acts or omissions on or after 1 April 2019, the limit is £455,000. </w:t>
      </w:r>
      <w:r>
        <w:rPr>
          <w:b/>
          <w:bCs/>
          <w:highlight w:val="yellow"/>
        </w:rPr>
        <w:t xml:space="preserve">[Check the current limit each April and update this sentence.]</w:t>
      </w:r>
    </w:p>
    <w:p>
      <w:r>
        <w:rPr>
          <w:b/>
          <w:bCs/>
        </w:rPr>
        <w:t xml:space="preserve">Changes to Ombudsman procedures.</w:t>
      </w:r>
      <w:r>
        <w:t xml:space="preserve"> Following the FCA and Ombudsman policy statement on modernising the redress system (August 2026), new grounds on which the Ombudsman may dismiss complaints, and a clarified “fair and reasonable” test, apply to complaints referred to the Ombudsman on or after 1 October 2026.</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HM Treasury’s March 2026 response on reforming the Ombudsman includes changes to be made through the Financial Services and Markets Bill (for example, a greater focus on the law and regulations in force at the time), and a new Ombudsman registration stage is not expected before April 2027. These changes are not yet in force. Check the Ombudsman’s and FCA’s websites before relying on this section, and update it when the changes take effect.</w:t>
      </w:r>
      <w:commentRangeEnd w:id="0"/>
      <w:r>
        <w:rPr>
          <w:rStyle w:val="CommentReference"/>
        </w:rPr>
        <w:commentReference w:id="0"/>
      </w:r>
    </w:p>
    <w:p>
      <w:pPr>
        <w:pStyle w:val="Heading1"/>
        <w:outlineLvl w:val="0"/>
      </w:pPr>
      <w:r>
        <w:t xml:space="preserve">7. Activity-specific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options below add the complaint-handling points that are specific to particular regulated activities. Keep every option that matches a permission you hold or are applying for, and delete the rest. If none of these activities apply to you, delete the whole of section 7 (including this heading).</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Complaints about a lender’s decision.</w:t>
      </w:r>
      <w:r>
        <w:t xml:space="preserve"> As a credit broker we introduce customers to lenders (or other brokers); we do not make lending decisions. Complaints about a lender’s decision to decline, the terms offered, or the administration of a credit agreement after it is entered into are usually the lender’s responsibility. We will forward these promptly under DISP 1.7, tell the customer, and give them the lender’s complaints contact details. We remain responsible for complaints about our own conduct – for example the information and explanations we gave, how we presented the credit, our fees, and whether we disclosed our commission arrangements as CONC 4.5 requires.</w:t>
      </w:r>
    </w:p>
    <w:p>
      <w:r>
        <w:rPr>
          <w:b/>
          <w:bCs/>
        </w:rPr>
        <w:t xml:space="preserve">7A.2 Commission complaints.</w:t>
      </w:r>
      <w:r>
        <w:t xml:space="preserve"> Complaints that we did not adequately disclose the existence, nature or amount of commission we received from a lender will be investigated by us and, where the lender is also involved, shared with the lender under DISP 1.7.</w:t>
      </w:r>
    </w:p>
    <w:p>
      <w:r>
        <w:rPr>
          <w:b/>
          <w:bCs/>
        </w:rPr>
        <w:t xml:space="preserve">7A.3 Motor finance commission complaints.</w:t>
      </w:r>
      <w:r>
        <w:t xml:space="preserve"> If we acted as a broker for motor finance between 2007 and 2024, complaints about commission arrangements may fall within the FCA’s motor finance consumer redress scheme (PS26/3), which is administered by lenders. We will forward any such complaint to the relevant lender promptly, tell the customer, and respond to lenders’ information requests fully and on time. </w:t>
      </w:r>
      <w:r>
        <w:rPr>
          <w:b/>
          <w:bCs/>
          <w:highlight w:val="yellow"/>
        </w:rPr>
        <w:t xml:space="preserve">[Delete 7A.3 if you have never brokered motor finance.]</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1"/>
      <w:r>
        <w:rPr>
          <w:b/>
          <w:bCs/>
        </w:rPr>
        <w:t xml:space="preserve">Regulatory watch – not yet final: </w:t>
      </w:r>
      <w:r>
        <w:rPr>
          <w:i/>
          <w:iCs/>
        </w:rPr>
        <w:t xml:space="preserve">The FCA’s motor finance redress scheme (PS26/3) is subject to a legal challenge brought in May 2026, and the FCA has said parts of the scheme timetable may be paused. Firms should continue to prepare. Check the FCA’s motor finance pages for the current timetable before relying on 7A.3.</w:t>
      </w:r>
      <w:commentRangeEnd w:id="1"/>
      <w:r>
        <w:rPr>
          <w:rStyle w:val="CommentReference"/>
        </w:rPr>
        <w:commentReference w:id="1"/>
      </w:r>
    </w:p>
    <w:p>
      <w:r>
        <w:rPr>
          <w:b/>
          <w:bCs/>
        </w:rPr>
        <w:t xml:space="preserve">7A.4 Fees charged to customers.</w:t>
      </w:r>
      <w:r>
        <w:t xml:space="preserve"> Where we charge the customer a broker fee, complaints about the fee are ours to handle. If a customer does not enter into a credit agreement within six months of making a relevant agreement with us, section 155 of the Consumer Credit Act 1974 entitles them to a refund of broker fees above the statutory maximum (currently £5). We will refund promptly on request.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(including debt management plans). Otherwise DELETE everything from this START banner down to and including the matching END OF OPTION 7B banner. Each option is self-contained, so nothing else in the document needs to change.]</w:t>
      </w:r>
    </w:p>
    <w:p>
      <w:r>
        <w:rPr>
          <w:b/>
          <w:bCs/>
        </w:rPr>
        <w:t xml:space="preserve">7B.1 What we are responsible for.</w:t>
      </w:r>
      <w:r>
        <w:t xml:space="preserve"> Complaints about the advice we gave, the debt solution we recommended or set up, the fees we charge, how we handle customers’ money, and how we communicate with customers and their creditors are our responsibility. Complaints about a creditor’s own conduct (for example a creditor refusing to freeze interest) are the creditor’s responsibility; we will help the customer raise these and forward them under DISP 1.7 where appropriate.</w:t>
      </w:r>
    </w:p>
    <w:p>
      <w:r>
        <w:rPr>
          <w:b/>
          <w:bCs/>
        </w:rPr>
        <w:t xml:space="preserve">7B.2 Customers in financial difficulty.</w:t>
      </w:r>
      <w:r>
        <w:t xml:space="preserve"> Our customers are, by definition, in or near financial difficulty and many will have characteristics of vulnerability. We will handle their complaints with particular care, avoid adding pressure, and consider whether the issue complained about could have caused them to miss payments, incur charges or lose protections (for example under the Debt Respite Scheme – “Breathing Space”). Redress will cover any such knock-on losses.</w:t>
      </w:r>
    </w:p>
    <w:p>
      <w:r>
        <w:rPr>
          <w:b/>
          <w:bCs/>
        </w:rPr>
        <w:t xml:space="preserve">7B.3 Client money.</w:t>
      </w:r>
      <w:r>
        <w:t xml:space="preserve"> Where a complaint concerns payments we receive from a customer and distribute to creditors, we will check our client money records and reconciliations under CASS 11 as part of the investigation and escalate any shortfall to </w:t>
      </w:r>
      <w:r>
        <w:rPr>
          <w:b/>
          <w:bCs/>
          <w:highlight w:val="yellow"/>
        </w:rPr>
        <w:t xml:space="preserve">[Insert name of the person responsible for client money]</w:t>
      </w:r>
      <w:r>
        <w:t xml:space="preserve"> immediately.</w:t>
      </w:r>
    </w:p>
    <w:p>
      <w:r>
        <w:rPr>
          <w:b/>
          <w:bCs/>
        </w:rPr>
        <w:t xml:space="preserve">7B.4 Continuity of the plan.</w:t>
      </w:r>
      <w:r>
        <w:t xml:space="preserve"> Making a complaint must not interrupt the customer’s debt solution. We will continue to distribute payments and maintain the plan while the complaint is investigated, unless the customer asks us to stop.</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Disputed debts.</w:t>
      </w:r>
      <w:r>
        <w:t xml:space="preserve"> Where a customer disputes a debt on valid grounds, or on grounds that may be valid, CONC 7 requires us to suspend recovery action while we investigate. We treat any such dispute as a complaint, pause collection activity on the disputed amount, and only resume once the dispute has been resolved and the customer told the outcome.</w:t>
      </w:r>
    </w:p>
    <w:p>
      <w:r>
        <w:rPr>
          <w:b/>
          <w:bCs/>
        </w:rPr>
        <w:t xml:space="preserve">7C.2 Who is responsible.</w:t>
      </w:r>
      <w:r>
        <w:t xml:space="preserve"> We collect or administer debts on behalf of </w:t>
      </w:r>
      <w:r>
        <w:rPr>
          <w:b/>
          <w:bCs/>
          <w:highlight w:val="yellow"/>
        </w:rPr>
        <w:t xml:space="preserve">[Insert: the lender(s) / debt owner(s) we act for, e.g. “our clients”]</w:t>
      </w:r>
      <w:r>
        <w:t xml:space="preserve">. Complaints about our own collection or administration conduct are ours to handle. Complaints about the origination of the debt (for example whether the lending was affordable) or the debt owner’s decisions are the debt owner’s responsibility; we will forward them promptly under DISP 1.7, tell the customer, and continue to handle any part that relates to our own conduct. Our agreement with each client sets out how complaint information is shared: </w:t>
      </w:r>
      <w:r>
        <w:rPr>
          <w:b/>
          <w:bCs/>
          <w:highlight w:val="yellow"/>
        </w:rPr>
        <w:t xml:space="preserve">[Insert reference to your client agreements]</w:t>
      </w:r>
      <w:r>
        <w:t xml:space="preserve">.</w:t>
      </w:r>
    </w:p>
    <w:p>
      <w:r>
        <w:rPr>
          <w:b/>
          <w:bCs/>
        </w:rPr>
        <w:t xml:space="preserve">7C.3 Customers in financial difficulty.</w:t>
      </w:r>
      <w:r>
        <w:t xml:space="preserve"> We will consider whether the complaint shows that we have not treated the customer with forbearance and due consideration as required by CONC 7 (including the strengthened requirements that took effect in November 2024 under PS24/2), and whether other customers could be affected.</w:t>
      </w:r>
    </w:p>
    <w:p>
      <w:r>
        <w:rPr>
          <w:b/>
          <w:bCs/>
        </w:rPr>
        <w:t xml:space="preserve">7C.4 Records and credit files.</w:t>
      </w:r>
      <w:r>
        <w:t xml:space="preserve"> Where a complaint is upheld and it has affected information reported to credit reference agencies, we will arrange for the record to be corrected and confirm this to the customer.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(including operating as a credit reference agency). Otherwise DELETE everything from this START banner down to and including the matching END OF OPTION 7D banner. Each option is self-contained, so nothing else in the document needs to change.]</w:t>
      </w:r>
    </w:p>
    <w:p>
      <w:r>
        <w:rPr>
          <w:b/>
          <w:bCs/>
        </w:rPr>
        <w:t xml:space="preserve">7D.1 Two routes for disputes about credit information.</w:t>
      </w:r>
      <w:r>
        <w:t xml:space="preserve"> Customers who think information about them is wrong have statutory rights in addition to our complaints process. Where we hold a credit file, a consumer can ask us to remove or amend incorrect information and, if we do not, can require us to add a </w:t>
      </w:r>
      <w:r>
        <w:rPr>
          <w:b/>
          <w:bCs/>
        </w:rPr>
        <w:t xml:space="preserve">notice of correction</w:t>
      </w:r>
      <w:r>
        <w:t xml:space="preserve"> of up to 200 words (section 159 of the Consumer Credit Act 1974). They also have data protection rights (for example rectification) under the UK GDPR. We will tell customers about these rights whenever they complain about the accuracy of information.</w:t>
      </w:r>
    </w:p>
    <w:p>
      <w:r>
        <w:rPr>
          <w:b/>
          <w:bCs/>
        </w:rPr>
        <w:t xml:space="preserve">7D.2 Information supplied by others.</w:t>
      </w:r>
      <w:r>
        <w:t xml:space="preserve"> Where disputed information was supplied by a lender or other data provider, we will contact the provider promptly to verify it, flag the entry as disputed where appropriate, and tell the customer who supplied the information. We will forward any complaint about the provider’s own conduct to it under DISP 1.7.</w:t>
      </w:r>
    </w:p>
    <w:p>
      <w:r>
        <w:rPr>
          <w:b/>
          <w:bCs/>
        </w:rPr>
        <w:t xml:space="preserve">7D.3 Credit information services.</w:t>
      </w:r>
      <w:r>
        <w:t xml:space="preserve"> Where we help customers obtain, check or correct their credit information, or give advice about their credit rating, complaints about the service we provided (including any subscription, cancellation or fee issues) are ours to handle.</w:t>
      </w:r>
    </w:p>
    <w:p>
      <w:r>
        <w:rPr>
          <w:b/>
          <w:bCs/>
        </w:rPr>
        <w:t xml:space="preserve">7D.4 Data protection complaints.</w:t>
      </w:r>
      <w:r>
        <w:t xml:space="preserve"> Many complaints about credit information are also data protection complaints. We will follow section 11 alongside this procedure and tell customers they can also complain to the Information Commissioner’s Office.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(a peer-to-peer or loan-based crowdfunding platform). Otherwise DELETE everything from this START banner down to and including the matching END OF OPTION 7E banner. Each option is self-contained, so nothing else in the document needs to change.]</w:t>
      </w:r>
    </w:p>
    <w:p>
      <w:r>
        <w:rPr>
          <w:b/>
          <w:bCs/>
        </w:rPr>
        <w:t xml:space="preserve">7E.1 Two groups of complainants.</w:t>
      </w:r>
      <w:r>
        <w:t xml:space="preserve"> Both investors who lend through our platform and borrowers who borrow through it can complain to us, and both can be eligible complainants for the Ombudsman. We record which group each complainant belongs to so that we can analyse trends for each.</w:t>
      </w:r>
    </w:p>
    <w:p>
      <w:r>
        <w:rPr>
          <w:b/>
          <w:bCs/>
        </w:rPr>
        <w:t xml:space="preserve">7E.2 Common investor complaints.</w:t>
      </w:r>
      <w:r>
        <w:t xml:space="preserve"> These include complaints about the information we gave about risk, expected returns and defaults, the appropriateness assessment we carried out, how we collect and recover loans, how we apply provision funds (if any), and delays in accessing money. We investigate these against our disclosures and the conduct rules in COBS, including COBS 4.12A for restricted mass market investments.</w:t>
      </w:r>
    </w:p>
    <w:p>
      <w:r>
        <w:rPr>
          <w:b/>
          <w:bCs/>
        </w:rPr>
        <w:t xml:space="preserve">7E.3 Common borrower complaints.</w:t>
      </w:r>
      <w:r>
        <w:t xml:space="preserve"> These include complaints about our creditworthiness assessment, the credit information we gave, fees, and how arrears are handled. We investigate these against CONC.</w:t>
      </w:r>
    </w:p>
    <w:p>
      <w:r>
        <w:rPr>
          <w:b/>
          <w:bCs/>
        </w:rPr>
        <w:t xml:space="preserve">7E.4 If the platform fails.</w:t>
      </w:r>
      <w:r>
        <w:t xml:space="preserve"> Our wind-down arrangements set out how complaints will continue to be handled if we stop operating. </w:t>
      </w:r>
      <w:r>
        <w:rPr>
          <w:b/>
          <w:bCs/>
          <w:highlight w:val="yellow"/>
        </w:rPr>
        <w:t xml:space="preserve">[Insert a one-sentence summary of how complaints will be handled under your wind-down plan.]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7F banner. Each option is self-contained, so nothing else in the document needs to change.]</w:t>
      </w:r>
    </w:p>
    <w:p>
      <w:r>
        <w:rPr>
          <w:b/>
          <w:bCs/>
        </w:rPr>
        <w:t xml:space="preserve">7F.1 Common complaint types.</w:t>
      </w:r>
      <w:r>
        <w:t xml:space="preserve"> These include complaints that lending was unaffordable (CONC 5 creditworthiness), that customers in arrears were not treated with forbearance and due consideration (CONC 7, as strengthened by PS24/2), about fees and charges, about information given before the agreement, and claims under section 75 or section 75A of the Consumer Credit Act 1974 that have not been resolved to the customer’s satisfaction. Allegations of an unfair relationship (section 140A) will be assessed carefully and, where the customer may have a legal claim, we will treat the matter as a complaint.</w:t>
      </w:r>
    </w:p>
    <w:p>
      <w:r>
        <w:rPr>
          <w:b/>
          <w:bCs/>
        </w:rPr>
        <w:t xml:space="preserve">7F.2 Complaints received through brokers or merchants.</w:t>
      </w:r>
      <w:r>
        <w:t xml:space="preserve"> Complaints may reach us through the broker or retailer that introduced the customer. The DISP time limit runs from when any person acting for us receives the complaint, so our agreements with introducers require them to pass complaints to us within </w:t>
      </w:r>
      <w:r>
        <w:rPr>
          <w:b/>
          <w:bCs/>
          <w:highlight w:val="yellow"/>
        </w:rPr>
        <w:t xml:space="preserve">[Insert number, e.g. 1]</w:t>
      </w:r>
      <w:r>
        <w:t xml:space="preserve"> business day(s).</w:t>
      </w:r>
    </w:p>
    <w:p>
      <w:r>
        <w:rPr>
          <w:b/>
          <w:bCs/>
        </w:rPr>
        <w:t xml:space="preserve">7F.3 Deferred payment credit.</w:t>
      </w:r>
      <w:r>
        <w:t xml:space="preserve"> From 15 July 2026, deferred payment credit agreements offered by third-party lenders are regulated and complaints about them fall within DISP and the Ombudsman’s jurisdiction. </w:t>
      </w:r>
      <w:r>
        <w:rPr>
          <w:b/>
          <w:bCs/>
          <w:highlight w:val="yellow"/>
        </w:rPr>
        <w:t xml:space="preserve">[Delete 7F.3 if you do not offer deferred payment credit.]</w:t>
      </w:r>
    </w:p>
    <w:p>
      <w:r>
        <w:rPr>
          <w:b/>
          <w:bCs/>
        </w:rPr>
        <w:t xml:space="preserve">7F.4 Motor finance.</w:t>
      </w:r>
      <w:r>
        <w:t xml:space="preserve"> If we provided motor finance between 2007 and 2024, complaints about commission arrangements with brokers may fall within the FCA’s motor finance consumer redress scheme (PS26/3), which sets its own process and timetable. </w:t>
      </w:r>
      <w:r>
        <w:rPr>
          <w:b/>
          <w:bCs/>
          <w:highlight w:val="yellow"/>
        </w:rPr>
        <w:t xml:space="preserve">[Delete 7F.4 if you have never provided motor finance.]</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2"/>
      <w:r>
        <w:rPr>
          <w:b/>
          <w:bCs/>
        </w:rPr>
        <w:t xml:space="preserve">Regulatory watch – not yet final: </w:t>
      </w:r>
      <w:r>
        <w:rPr>
          <w:i/>
          <w:iCs/>
        </w:rPr>
        <w:t xml:space="preserve">The FCA’s motor finance redress scheme (PS26/3) is subject to a legal challenge brought in May 2026, and the FCA has said parts of the scheme timetable may be paused. Check the FCA’s motor finance pages for the current position before relying on 7F.4.</w:t>
      </w:r>
      <w:commentRangeEnd w:id="2"/>
      <w:r>
        <w:rPr>
          <w:rStyle w:val="CommentReference"/>
        </w:rPr>
        <w:commentReference w:id="2"/>
      </w:r>
    </w:p>
    <w:p>
      <w:r>
        <w:rPr>
          <w:b/>
          <w:bCs/>
        </w:rPr>
        <w:t xml:space="preserve">7F.5 Credit files.</w:t>
      </w:r>
      <w:r>
        <w:t xml:space="preserve"> Where we uphold a complaint that has affected information we reported to credit reference agencies, we will correct the record and confirm this to the customer.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(for example as a debt purchaser or owner of a loan book). Otherwise DELETE everything from this START banner down to and including the matching END OF OPTION 7G banner. Each option is self-contained, so nothing else in the document needs to change.]</w:t>
      </w:r>
    </w:p>
    <w:p>
      <w:r>
        <w:rPr>
          <w:b/>
          <w:bCs/>
        </w:rPr>
        <w:t xml:space="preserve">7G.1 Who is responsible.</w:t>
      </w:r>
      <w:r>
        <w:t xml:space="preserve"> Where we have acquired the lender’s rights under a credit agreement, we are responsible for complaints about how the agreement has been administered and enforced since we acquired it. Complaints about events before we acquired it (for example how the loan was originally sold or whether it was affordable) may be the original lender’s responsibility, ours, or shared, depending on the law and the terms of our purchase agreement. We will check the purchase agreement, deal with the parts that are ours, and forward the rest promptly under DISP 1.7, telling the customer who is dealing with what.</w:t>
      </w:r>
    </w:p>
    <w:p>
      <w:r>
        <w:rPr>
          <w:b/>
          <w:bCs/>
        </w:rPr>
        <w:t xml:space="preserve">7G.2 Customers in arrears.</w:t>
      </w:r>
      <w:r>
        <w:t xml:space="preserve"> Many of our customers will be in arrears. We will consider whether the complaint shows that we have not treated the customer with forbearance and due consideration under CONC 7 (as strengthened by PS24/2), and suspend recovery where the customer disputes the debt on valid grounds, or grounds that may be valid.</w:t>
      </w:r>
    </w:p>
    <w:p>
      <w:r>
        <w:rPr>
          <w:b/>
          <w:bCs/>
        </w:rPr>
        <w:t xml:space="preserve">7G.3 Third-party servicers.</w:t>
      </w:r>
      <w:r>
        <w:t xml:space="preserve"> Where another firm services the agreements on our behalf, our agreement with it requires complaints to be passed to us within </w:t>
      </w:r>
      <w:r>
        <w:rPr>
          <w:b/>
          <w:bCs/>
          <w:highlight w:val="yellow"/>
        </w:rPr>
        <w:t xml:space="preserve">[Insert number]</w:t>
      </w:r>
      <w:r>
        <w:t xml:space="preserve"> business day(s), and we remain responsible for the outcome.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or is applying to do so. Otherwise DELETE everything from this START banner down to and including the matching END OF OPTION 7H banner. Each option is self-contained, so nothing else in the document needs to change.]</w:t>
      </w:r>
    </w:p>
    <w:p>
      <w:r>
        <w:rPr>
          <w:b/>
          <w:bCs/>
        </w:rPr>
        <w:t xml:space="preserve">7H.1 Common complaint types.</w:t>
      </w:r>
      <w:r>
        <w:t xml:space="preserve"> These include complaints about the condition or suitability of hired goods, maintenance and repairs, end-of-hire and damage charges, early termination, how arrears were handled (CONC 7 applies to hire arrears) and repossession of goods.</w:t>
      </w:r>
    </w:p>
    <w:p>
      <w:r>
        <w:rPr>
          <w:b/>
          <w:bCs/>
        </w:rPr>
        <w:t xml:space="preserve">7H.2 End-of-hire charges.</w:t>
      </w:r>
      <w:r>
        <w:t xml:space="preserve"> Where a customer disputes a damage or excess-use charge, we will not pursue the disputed amount while we investigate, and we will provide the evidence (for example inspection reports and photographs) on which the charge is based.</w:t>
      </w:r>
    </w:p>
    <w:p>
      <w:r>
        <w:rPr>
          <w:b/>
          <w:bCs/>
        </w:rPr>
        <w:t xml:space="preserve">7H.3 Goods supplied by others.</w:t>
      </w:r>
      <w:r>
        <w:t xml:space="preserve"> Where the goods were supplied or are maintained by a third party, we will deal with the complaint ourselves if it concerns our hire agreement, and forward any part that is the third party’s responsibility under DISP 1.7.</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(arranging, advising on or assisting in the administration and performance of contracts of insurance). Otherwise DELETE everything from this START banner down to and including the matching END OF OPTION 7I banner. Each option is self-contained, so nothing else in the document needs to change.]</w:t>
      </w:r>
    </w:p>
    <w:p>
      <w:r>
        <w:rPr>
          <w:b/>
          <w:bCs/>
        </w:rPr>
        <w:t xml:space="preserve">7I.1 Complaints about the insurer.</w:t>
      </w:r>
      <w:r>
        <w:t xml:space="preserve"> Complaints about an insurer’s decisions – for example a declined or reduced claim, or the insurer’s pricing – are the insurer’s responsibility unless we act under a delegated authority for that insurer. We will forward them promptly under DISP 1.7 and tell the customer. </w:t>
      </w:r>
      <w:r>
        <w:rPr>
          <w:b/>
          <w:bCs/>
          <w:highlight w:val="yellow"/>
        </w:rPr>
        <w:t xml:space="preserve">[Where you hold delegated claims or complaints authority from an insurer, describe it here.]</w:t>
      </w:r>
    </w:p>
    <w:p>
      <w:r>
        <w:rPr>
          <w:b/>
          <w:bCs/>
        </w:rPr>
        <w:t xml:space="preserve">7I.2 Complaints about our service.</w:t>
      </w:r>
      <w:r>
        <w:t xml:space="preserve"> We are responsible for complaints about our own conduct, including the demands and needs assessment and any advice we gave (ICOBS 5), the information we provided about the policy (ICOBS 6), our fees and remuneration disclosures, and our part in the fair value of the product under PROD 4.</w:t>
      </w:r>
    </w:p>
    <w:p>
      <w:r>
        <w:rPr>
          <w:b/>
          <w:bCs/>
        </w:rPr>
        <w:t xml:space="preserve">7I.3 Claims support.</w:t>
      </w:r>
      <w:r>
        <w:t xml:space="preserve"> Where we help customers make claims, delays or failures in that support are complaints about us.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or is applying to do so. Otherwise DELETE everything from this START banner down to and including the matching END OF OPTION 7J banner. Each option is self-contained, so nothing else in the document needs to change.]</w:t>
      </w:r>
    </w:p>
    <w:p>
      <w:r>
        <w:rPr>
          <w:b/>
          <w:bCs/>
        </w:rPr>
        <w:t xml:space="preserve">7J.1 Complaints about the lender.</w:t>
      </w:r>
      <w:r>
        <w:t xml:space="preserve"> Complaints about a lender’s decisions (for example declining an application, valuation outcomes, or the lender’s own administration) are the lender’s responsibility. We will forward them promptly under DISP 1.7 and tell the customer.</w:t>
      </w:r>
    </w:p>
    <w:p>
      <w:r>
        <w:rPr>
          <w:b/>
          <w:bCs/>
        </w:rPr>
        <w:t xml:space="preserve">7J.2 Complaints about our advice and service.</w:t>
      </w:r>
      <w:r>
        <w:t xml:space="preserve"> We are responsible for complaints about the suitability of our advice (MCOB 4.7A), the information in our initial disclosure and the illustration, our fees, how we treated the customer’s circumstances, and delays we caused. Where we uphold a complaint about unsuitable advice, redress will aim to put the customer in the position they would have been in with suitable advice.</w:t>
      </w:r>
    </w:p>
    <w:p>
      <w:r>
        <w:rPr>
          <w:b/>
          <w:bCs/>
        </w:rPr>
        <w:t xml:space="preserve">7J.3 Related insurance.</w:t>
      </w:r>
      <w:r>
        <w:t xml:space="preserve"> Where we also arranged insurance linked to the mortgage (for example protection or buildings insurance), we will identify whether the complaint also concerns that insurance and handle each part under the correct rules.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services or account information services) or issues electronic money. Otherwise DELETE everything from this START banner down to and including the matching END OF OPTION 7K banner. Each option is self-contained, so nothing else in the document needs to change.]</w:t>
      </w:r>
    </w:p>
    <w:p>
      <w:r>
        <w:rPr>
          <w:b/>
          <w:bCs/>
        </w:rPr>
        <w:t xml:space="preserve">7K.1 Timescales.</w:t>
      </w:r>
      <w:r>
        <w:t xml:space="preserve"> Complaints about payment services rights and obligations have a shorter, 15-business-day deadline (see section 5).</w:t>
      </w:r>
    </w:p>
    <w:p>
      <w:r>
        <w:rPr>
          <w:b/>
          <w:bCs/>
        </w:rPr>
        <w:t xml:space="preserve">7K.2 Unauthorised and incorrectly executed payments.</w:t>
      </w:r>
      <w:r>
        <w:t xml:space="preserve"> Customer rights to a refund for unauthorised payments (for example regulation 76 of the Payment Services Regulations 2017) are separate from our complaints process: where a refund is due, we will make it within the timescales the Regulations require, without waiting for a complaint investigation to finish.</w:t>
      </w:r>
    </w:p>
    <w:p>
      <w:r>
        <w:rPr>
          <w:b/>
          <w:bCs/>
        </w:rPr>
        <w:t xml:space="preserve">7K.3 Payment initiation and account information services.</w:t>
      </w:r>
      <w:r>
        <w:t xml:space="preserve"> Where we provide payment initiation or account information services, complaints may involve the customer’s account provider. We will deal with our part of the complaint and cooperate with the account provider, including on liability for unauthorised or incorrectly executed payment transactions initiated through us.</w:t>
      </w:r>
    </w:p>
    <w:p>
      <w:r>
        <w:rPr>
          <w:b/>
          <w:bCs/>
        </w:rPr>
        <w:t xml:space="preserve">7K.4 Authorised push payment (APP) fraud.</w:t>
      </w:r>
      <w:r>
        <w:t xml:space="preserve"> </w:t>
      </w:r>
      <w:r>
        <w:rPr>
          <w:b/>
          <w:bCs/>
          <w:highlight w:val="yellow"/>
        </w:rPr>
        <w:t xml:space="preserve">[If you provide accounts that can send or receive Faster Payments or CHAPS payments, describe how you apply the APP scam reimbursement requirements. Otherwise delete 7K.4.]</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3"/>
      <w:r>
        <w:rPr>
          <w:b/>
          <w:bCs/>
        </w:rPr>
        <w:t xml:space="preserve">Regulatory watch – not yet final: </w:t>
      </w:r>
      <w:r>
        <w:rPr>
          <w:i/>
          <w:iCs/>
        </w:rPr>
        <w:t xml:space="preserve">The Government has announced that the Payment Systems Regulator will be consolidated into the FCA, and responsibility for the APP scam reimbursement requirements may move as part of that change. Check the current position before relying on 7K.4.</w:t>
      </w:r>
      <w:commentRangeEnd w:id="3"/>
      <w:r>
        <w:rPr>
          <w:rStyle w:val="CommentReference"/>
        </w:rPr>
        <w:commentReference w:id="3"/>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or is applying to do so. Otherwise DELETE everything from this START banner down to and including the matching END OF OPTION 7L banner. Each option is self-contained, so nothing else in the document needs to change.]</w:t>
      </w:r>
    </w:p>
    <w:p>
      <w:r>
        <w:rPr>
          <w:b/>
          <w:bCs/>
        </w:rPr>
        <w:t xml:space="preserve">7L.1 Common complaint types.</w:t>
      </w:r>
      <w:r>
        <w:t xml:space="preserve"> These include complaints about the suitability of advice (COBS 9 or COBS 9A), the risks explained, charges, ongoing advice services not delivered, and delays in arranging transactions or transfers.</w:t>
      </w:r>
    </w:p>
    <w:p>
      <w:r>
        <w:rPr>
          <w:b/>
          <w:bCs/>
        </w:rPr>
        <w:t xml:space="preserve">7L.2 Complaints about product providers.</w:t>
      </w:r>
      <w:r>
        <w:t xml:space="preserve"> Complaints about a product provider’s performance or administration are the provider’s responsibility. We will forward them promptly under DISP 1.7 and tell the customer.</w:t>
      </w:r>
    </w:p>
    <w:p>
      <w:r>
        <w:rPr>
          <w:b/>
          <w:bCs/>
        </w:rPr>
        <w:t xml:space="preserve">7L.3 MiFID business.</w:t>
      </w:r>
      <w:r>
        <w:t xml:space="preserve"> </w:t>
      </w:r>
      <w:r>
        <w:rPr>
          <w:b/>
          <w:bCs/>
          <w:highlight w:val="yellow"/>
        </w:rPr>
        <w:t xml:space="preserve">[If your firm is a MiFID investment firm, keep this paragraph: we operate a complaints management function in line with DISP 1.1A and keep complaint records for at least five years. If your firm is not a MiFID firm (for example because it relies on the Article 3 exemption), delete this paragraph.]</w:t>
      </w:r>
    </w:p>
    <w:p>
      <w:r>
        <w:rPr>
          <w:b/>
          <w:bCs/>
        </w:rPr>
        <w:t xml:space="preserve">7L.4 Redress for unsuitable advice.</w:t>
      </w:r>
      <w:r>
        <w:t xml:space="preserve"> Where we uphold a complaint about unsuitable advice, redress will aim to put the customer in the position they would have been in had they received suitable advice, using any relevant FCA or Ombudsman redress methodology.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
        <w:outlineLvl w:val="0"/>
      </w:pPr>
      <w:r>
        <w:t xml:space="preserve">8. Treating complainants fairly</w:t>
      </w:r>
    </w:p>
    <w:p>
      <w:pPr>
        <w:pStyle w:val="ListParagraph"/>
        <w:numPr>
          <w:ilvl w:val="0"/>
          <w:numId w:val="4"/>
        </w:numPr>
      </w:pPr>
      <w:r>
        <w:t xml:space="preserve">We treat every complainant with courtesy, respect and patience, and communicate in plain language.</w:t>
      </w:r>
    </w:p>
    <w:p>
      <w:pPr>
        <w:pStyle w:val="ListParagraph"/>
        <w:numPr>
          <w:ilvl w:val="0"/>
          <w:numId w:val="4"/>
        </w:numPr>
      </w:pPr>
      <w:r>
        <w:t xml:space="preserve">We take account of characteristics of vulnerability (see our Customer Vulnerability Policy) and make reasonable adjustments, such as extra time, a single point of contact, communication through a trusted third party, or alternative formats.</w:t>
      </w:r>
    </w:p>
    <w:p>
      <w:pPr>
        <w:pStyle w:val="ListParagraph"/>
        <w:numPr>
          <w:ilvl w:val="0"/>
          <w:numId w:val="4"/>
        </w:numPr>
      </w:pPr>
      <w:r>
        <w:t xml:space="preserve">We do not discourage customers from complaining, and we do not treat customers less favourably because they have complained.</w:t>
      </w:r>
    </w:p>
    <w:p>
      <w:pPr>
        <w:pStyle w:val="ListParagraph"/>
        <w:numPr>
          <w:ilvl w:val="0"/>
          <w:numId w:val="4"/>
        </w:numPr>
      </w:pPr>
      <w:r>
        <w:t xml:space="preserve">We will not continue with any action that is the subject of the complaint (for example charging a disputed fee) where doing so could cause further harm while we investigate.</w:t>
      </w:r>
    </w:p>
    <w:p>
      <w:pPr>
        <w:pStyle w:val="ListParagraph"/>
        <w:numPr>
          <w:ilvl w:val="0"/>
          <w:numId w:val="4"/>
        </w:numPr>
      </w:pPr>
      <w:r>
        <w:t xml:space="preserve">We will not ask a complainant to sign a confidentiality clause or waive their right to go to the Ombudsman as a condition of redress.</w:t>
      </w:r>
    </w:p>
    <w:p>
      <w:pPr>
        <w:pStyle w:val="Heading1"/>
        <w:outlineLvl w:val="0"/>
      </w:pPr>
      <w:r>
        <w:t xml:space="preserve">9. Records, root cause analysis and reporting</w:t>
      </w:r>
    </w:p>
    <w:p>
      <w:r>
        <w:rPr>
          <w:b/>
          <w:bCs/>
        </w:rPr>
        <w:t xml:space="preserve">Complaints Register.</w:t>
      </w:r>
      <w:r>
        <w:t xml:space="preserve"> We record every complaint in our Complaints Register (Appendix B). We keep complaint records for at least three years from the date the complaint was received (</w:t>
      </w:r>
      <w:r>
        <w:rPr>
          <w:b/>
          <w:bCs/>
          <w:highlight w:val="yellow"/>
        </w:rPr>
        <w:t xml:space="preserve">[Insert: or five years for MiFID business – delete if not applicable]</w:t>
      </w:r>
      <w:r>
        <w:t xml:space="preserve">) (DISP 1.9).</w:t>
      </w:r>
    </w:p>
    <w:p>
      <w:r>
        <w:rPr>
          <w:b/>
          <w:bCs/>
        </w:rPr>
        <w:t xml:space="preserve">Root cause analysis.</w:t>
      </w:r>
      <w:r>
        <w:t xml:space="preserve"> </w:t>
      </w:r>
      <w:r>
        <w:rPr>
          <w:b/>
          <w:bCs/>
          <w:highlight w:val="yellow"/>
        </w:rPr>
        <w:t xml:space="preserve">[Insert name or role]</w:t>
      </w:r>
      <w:r>
        <w:t xml:space="preserve"> reviews the Register at least </w:t>
      </w:r>
      <w:r>
        <w:rPr>
          <w:b/>
          <w:bCs/>
          <w:highlight w:val="yellow"/>
        </w:rPr>
        <w:t xml:space="preserve">[Insert frequency, e.g. monthly]</w:t>
      </w:r>
      <w:r>
        <w:t xml:space="preserve"> to identify recurring or systemic problems, as DISP 1.3.3R requires. Where a root cause could have affected other customers, we will consider whether to contact and put things right for customers who have not complained.</w:t>
      </w:r>
    </w:p>
    <w:p>
      <w:r>
        <w:rPr>
          <w:b/>
          <w:bCs/>
        </w:rPr>
        <w:t xml:space="preserve">Management information.</w:t>
      </w:r>
      <w:r>
        <w:t xml:space="preserve"> Complaints data (volumes, themes, uphold rates, timeliness, redress and Ombudsman outcomes) is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and forms part of our Consumer Duty monitoring and annual board report.</w:t>
      </w:r>
    </w:p>
    <w:p>
      <w:r>
        <w:rPr>
          <w:b/>
          <w:bCs/>
        </w:rPr>
        <w:t xml:space="preserve">Reporting to the FCA.</w:t>
      </w:r>
      <w:r>
        <w:t xml:space="preserve"> We submit complaints data to the FCA through RegData as DISP 1.10 requires. Following PS25/19, the FCA is replacing several existing complaints returns with a single consolidated complaints return: current reporting periods end on 31 December 2026, and the first consolidated return covers 1 January to 30 June 2027 and is due by 1 July 2027. </w:t>
      </w:r>
      <w:r>
        <w:rPr>
          <w:b/>
          <w:bCs/>
          <w:highlight w:val="yellow"/>
        </w:rPr>
        <w:t xml:space="preserve">[Insert the name of the person responsible for submitting complaints returns.]</w:t>
      </w:r>
    </w:p>
    <w:p>
      <w:pPr>
        <w:pStyle w:val="Heading1"/>
        <w:outlineLvl w:val="0"/>
      </w:pPr>
      <w:r>
        <w:t xml:space="preserve">10. Responsibilities and oversight</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rPr>
                <w:b/>
                <w:bCs/>
                <w:highlight w:val="yellow"/>
              </w:rPr>
              <w:t xml:space="preserve">[Insert name of director / senior manager]</w:t>
            </w:r>
            <w:r>
              <w:t xml:space="preserve"> – complaints oversight</w:t>
            </w:r>
          </w:p>
        </w:tc>
        <w:tc>
          <w:tcPr>
            <w:tcW w:w="6319" w:type="dxa"/>
          </w:tcPr>
          <w:p>
            <w:pPr>
              <w:spacing w:before="0" w:after="60"/>
            </w:pPr>
            <w:r>
              <w:t xml:space="preserve">Oversees compliance with DISP 1, as DISP 1.3.7R requires. </w:t>
            </w:r>
            <w:r>
              <w:rPr>
                <w:b/>
                <w:bCs/>
                <w:highlight w:val="yellow"/>
              </w:rPr>
              <w:t xml:space="preserve">[For SM&amp;CR firms, record this in the individual’s Statement of Responsibilities.]</w:t>
            </w:r>
            <w:r>
              <w:t xml:space="preserve"> Receives complaints MI and ensures lessons are acted upon.</w:t>
            </w:r>
          </w:p>
        </w:tc>
      </w:tr>
      <w:tr>
        <w:trPr>
          <w:cantSplit/>
        </w:trPr>
        <w:tc>
          <w:tcPr>
            <w:tcW w:w="2707" w:type="dxa"/>
          </w:tcPr>
          <w:p>
            <w:pPr>
              <w:spacing w:before="0" w:after="60"/>
            </w:pPr>
            <w:r>
              <w:rPr>
                <w:b/>
                <w:bCs/>
                <w:highlight w:val="yellow"/>
              </w:rPr>
              <w:t xml:space="preserve">[Insert name or role]</w:t>
            </w:r>
            <w:r>
              <w:t xml:space="preserve"> – complaints handler</w:t>
            </w:r>
          </w:p>
        </w:tc>
        <w:tc>
          <w:tcPr>
            <w:tcW w:w="6319" w:type="dxa"/>
          </w:tcPr>
          <w:p>
            <w:pPr>
              <w:spacing w:before="0" w:after="60"/>
            </w:pPr>
            <w:r>
              <w:t xml:space="preserve">Records, acknowledges, investigates and responds to complaints; maintains the Complaints Register; carries out root cause analysis.</w:t>
            </w:r>
          </w:p>
        </w:tc>
      </w:tr>
      <w:tr>
        <w:trPr>
          <w:cantSplit/>
        </w:trPr>
        <w:tc>
          <w:tcPr>
            <w:tcW w:w="2707" w:type="dxa"/>
          </w:tcPr>
          <w:p>
            <w:pPr>
              <w:spacing w:before="0" w:after="60"/>
            </w:pPr>
            <w:r>
              <w:t xml:space="preserve">All staff</w:t>
            </w:r>
          </w:p>
        </w:tc>
        <w:tc>
          <w:tcPr>
            <w:tcW w:w="6319" w:type="dxa"/>
          </w:tcPr>
          <w:p>
            <w:pPr>
              <w:spacing w:before="0" w:after="60"/>
            </w:pPr>
            <w:r>
              <w:t xml:space="preserve">Recognise complaints in any form, record them by the end of the next business day and pass them on immediately.</w:t>
            </w:r>
          </w:p>
        </w:tc>
      </w:tr>
    </w:tbl>
    <w:p>
      <w:pPr>
        <w:spacing w:before="0" w:after="0"/>
      </w:pP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In a sole-trader or very small firm the same person may perform every role above. That is acceptable, but explain how you will keep investigations impartial – for example by having complaints about your own conduct reviewed by an external compliance adviser.</w:t>
      </w:r>
    </w:p>
    <w:p>
      <w:r>
        <w:rPr>
          <w:b/>
          <w:bCs/>
        </w:rPr>
        <w:t xml:space="preserve">Training.</w:t>
      </w:r>
      <w:r>
        <w:t xml:space="preserve"> Everyone who may receive a complaint is trained to recognise one at induction and at least annually. Complaint handlers receive additional training on investigation, redress and communicating outcomes.</w:t>
      </w:r>
    </w:p>
    <w:p>
      <w:pPr>
        <w:pStyle w:val="Heading1"/>
        <w:outlineLvl w:val="0"/>
      </w:pPr>
      <w:r>
        <w:t xml:space="preserve">11. Data protection complaints</w:t>
      </w:r>
    </w:p>
    <w:p>
      <w:r>
        <w:t xml:space="preserve">Since 19 June 2026, the Data Protection Act 2018 (as amended by the Data (Use and Access) Act 2025) has required us, as a data controller, to have a process for handling complaints about how we use personal data. We will acknowledge any data protection complaint within 30 days, take appropriate steps to respond without undue delay, and tell the complainant the outcome. A data protection complaint may also be a DISP complaint; where it is, we handle it under both processes and meet the shorter deadline. Complainants can also complain to the Information Commissioner’s Office (www.ico.org.uk).</w:t>
      </w:r>
    </w:p>
    <w:p>
      <w:pPr>
        <w:pStyle w:val="Heading1"/>
        <w:outlineLvl w:val="0"/>
      </w:pPr>
      <w:r>
        <w:t xml:space="preserve">12. Review of this procedure</w:t>
      </w:r>
    </w:p>
    <w:p>
      <w:r>
        <w:t xml:space="preserve">This procedure is reviewed at least annually by </w:t>
      </w:r>
      <w:r>
        <w:rPr>
          <w:b/>
          <w:bCs/>
          <w:highlight w:val="yellow"/>
        </w:rPr>
        <w:t xml:space="preserve">[Insert name or role]</w:t>
      </w:r>
      <w:r>
        <w:t xml:space="preserve">, and sooner if the FCA rules change, our business changes, or our complaints data or monitoring shows it is not working well. Changes are approved by </w:t>
      </w:r>
      <w:r>
        <w:rPr>
          <w:b/>
          <w:bCs/>
          <w:highlight w:val="yellow"/>
        </w:rPr>
        <w:t xml:space="preserve">[Insert: the board / the directors / the business owner]</w:t>
      </w:r>
      <w:r>
        <w:t xml:space="preserve">.</w:t>
      </w:r>
    </w:p>
    <w:p>
      <w:pPr>
        <w:pStyle w:val="Heading1"/>
        <w:outlineLvl w:val="0"/>
      </w:pPr>
      <w:r>
        <w:t xml:space="preserve">Appendix A – Customer-facing complaints summary</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Publish this summary on your website and give it to customers on request and when you acknowledge a complaint (DISP 1.2). Delete any lines that do not apply.</w:t>
      </w:r>
    </w:p>
    <w:p>
      <w:r>
        <w:rPr>
          <w:b/>
          <w:bCs/>
        </w:rPr>
        <w:t xml:space="preserve">How to complain to </w:t>
      </w:r>
      <w:r>
        <w:rPr>
          <w:b/>
          <w:bCs/>
          <w:highlight w:val="yellow"/>
        </w:rPr>
        <w:t xml:space="preserve">[Insert firm trading name]</w:t>
      </w:r>
    </w:p>
    <w:p>
      <w:r>
        <w:t xml:space="preserve">We want to put things right if you are unhappy with our service. You can complain by telephone on </w:t>
      </w:r>
      <w:r>
        <w:rPr>
          <w:b/>
          <w:bCs/>
          <w:highlight w:val="yellow"/>
        </w:rPr>
        <w:t xml:space="preserve">[Insert number]</w:t>
      </w:r>
      <w:r>
        <w:t xml:space="preserve">, by email to </w:t>
      </w:r>
      <w:r>
        <w:rPr>
          <w:b/>
          <w:bCs/>
          <w:highlight w:val="yellow"/>
        </w:rPr>
        <w:t xml:space="preserve">[Insert email address]</w:t>
      </w:r>
      <w:r>
        <w:t xml:space="preserve">, by post to </w:t>
      </w:r>
      <w:r>
        <w:rPr>
          <w:b/>
          <w:bCs/>
          <w:highlight w:val="yellow"/>
        </w:rPr>
        <w:t xml:space="preserve">[Insert postal address]</w:t>
      </w:r>
      <w:r>
        <w:t xml:space="preserve"> or </w:t>
      </w:r>
      <w:r>
        <w:rPr>
          <w:b/>
          <w:bCs/>
          <w:highlight w:val="yellow"/>
        </w:rPr>
        <w:t xml:space="preserve">[Insert any other channels]</w:t>
      </w:r>
      <w:r>
        <w:t xml:space="preserve">. You do not need to put your complaint in writing.</w:t>
      </w:r>
    </w:p>
    <w:p>
      <w:r>
        <w:rPr>
          <w:b/>
          <w:bCs/>
        </w:rPr>
        <w:t xml:space="preserve">What happens next.</w:t>
      </w:r>
      <w:r>
        <w:t xml:space="preserve"> We will acknowledge your complaint promptly and tell you who is dealing with it. We will investigate fairly and keep you updated. We will send you our final response within eight weeks </w:t>
      </w:r>
      <w:r>
        <w:rPr>
          <w:b/>
          <w:bCs/>
          <w:highlight w:val="yellow"/>
        </w:rPr>
        <w:t xml:space="preserve">[payment services firms: or within 15 business days for complaints about your payment services rights, or 35 business days in exceptional circumstances – delete if not applicable]</w:t>
      </w:r>
      <w:r>
        <w:t xml:space="preserve">. If we cannot, we will write to explain why and tell you about your right to go to the Financial Ombudsman Service.</w:t>
      </w:r>
    </w:p>
    <w:p>
      <w:r>
        <w:rPr>
          <w:b/>
          <w:bCs/>
        </w:rPr>
        <w:t xml:space="preserve">The Financial Ombudsman Service.</w:t>
      </w:r>
      <w:r>
        <w:t xml:space="preserve"> If you are not happy with our final response, or we have not responded in time, you may be able to refer your complaint to the Financial Ombudsman Service, free of charge. You must normally do so within six months of our final response. Financial Ombudsman Service, Exchange Tower, London E14 9SR. Telephone 0800 023 4567. www.financial-ombudsman.org.uk.</w:t>
      </w:r>
    </w:p>
    <w:p>
      <w:r>
        <w:rPr>
          <w:b/>
          <w:bCs/>
        </w:rPr>
        <w:t xml:space="preserve">If you need extra support.</w:t>
      </w:r>
      <w:r>
        <w:t xml:space="preserve"> Please tell us if you need any adjustments, such as information in a different format or more time.</w:t>
      </w:r>
    </w:p>
    <w:p>
      <w:pPr>
        <w:pStyle w:val="Heading1"/>
        <w:outlineLvl w:val="0"/>
      </w:pPr>
      <w:r>
        <w:t xml:space="preserve">Appendix B – Complaints Register fields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3159"/>
        <w:gridCol w:w="5867"/>
      </w:tblGrid>
      <w:tr>
        <w:trPr>
          <w:cantSplit/>
          <w:tblHeader/>
        </w:trPr>
        <w:tc>
          <w:tcPr>
            <w:tcW w:w="3159" w:type="dxa"/>
            <w:shd w:val="clear" w:color="auto" w:fill="D9E2F3"/>
          </w:tcPr>
          <w:p>
            <w:pPr>
              <w:spacing w:before="0" w:after="60"/>
            </w:pPr>
            <w:r>
              <w:rPr>
                <w:b/>
                <w:bCs/>
              </w:rPr>
              <w:t xml:space="preserve">Field</w:t>
            </w:r>
          </w:p>
        </w:tc>
        <w:tc>
          <w:tcPr>
            <w:tcW w:w="5867" w:type="dxa"/>
            <w:shd w:val="clear" w:color="auto" w:fill="D9E2F3"/>
          </w:tcPr>
          <w:p>
            <w:pPr>
              <w:spacing w:before="0" w:after="60"/>
            </w:pPr>
            <w:r>
              <w:rPr>
                <w:b/>
                <w:bCs/>
              </w:rPr>
              <w:t xml:space="preserve">What to record</w:t>
            </w:r>
          </w:p>
        </w:tc>
      </w:tr>
      <w:tr>
        <w:trPr>
          <w:cantSplit/>
        </w:trPr>
        <w:tc>
          <w:tcPr>
            <w:tcW w:w="3159" w:type="dxa"/>
          </w:tcPr>
          <w:p>
            <w:pPr>
              <w:spacing w:before="0" w:after="60"/>
            </w:pPr>
            <w:r>
              <w:t xml:space="preserve">Reference</w:t>
            </w:r>
          </w:p>
        </w:tc>
        <w:tc>
          <w:tcPr>
            <w:tcW w:w="5867" w:type="dxa"/>
          </w:tcPr>
          <w:p>
            <w:pPr>
              <w:spacing w:before="0" w:after="60"/>
            </w:pPr>
            <w:r>
              <w:t xml:space="preserve">Unique complaint reference</w:t>
            </w:r>
          </w:p>
        </w:tc>
      </w:tr>
      <w:tr>
        <w:trPr>
          <w:cantSplit/>
        </w:trPr>
        <w:tc>
          <w:tcPr>
            <w:tcW w:w="3159" w:type="dxa"/>
          </w:tcPr>
          <w:p>
            <w:pPr>
              <w:spacing w:before="0" w:after="60"/>
            </w:pPr>
            <w:r>
              <w:t xml:space="preserve">Date received</w:t>
            </w:r>
          </w:p>
        </w:tc>
        <w:tc>
          <w:tcPr>
            <w:tcW w:w="5867" w:type="dxa"/>
          </w:tcPr>
          <w:p>
            <w:pPr>
              <w:spacing w:before="0" w:after="60"/>
            </w:pPr>
            <w:r>
              <w:t xml:space="preserve">The date the complaint first reached anyone at, or acting for, the firm</w:t>
            </w:r>
          </w:p>
        </w:tc>
      </w:tr>
      <w:tr>
        <w:trPr>
          <w:cantSplit/>
        </w:trPr>
        <w:tc>
          <w:tcPr>
            <w:tcW w:w="3159" w:type="dxa"/>
          </w:tcPr>
          <w:p>
            <w:pPr>
              <w:spacing w:before="0" w:after="60"/>
            </w:pPr>
            <w:r>
              <w:t xml:space="preserve">Complainant</w:t>
            </w:r>
          </w:p>
        </w:tc>
        <w:tc>
          <w:tcPr>
            <w:tcW w:w="5867" w:type="dxa"/>
          </w:tcPr>
          <w:p>
            <w:pPr>
              <w:spacing w:before="0" w:after="60"/>
            </w:pPr>
            <w:r>
              <w:t xml:space="preserve">Name, contact details, and whether they are a customer, representative or other party</w:t>
            </w:r>
          </w:p>
        </w:tc>
      </w:tr>
      <w:tr>
        <w:trPr>
          <w:cantSplit/>
        </w:trPr>
        <w:tc>
          <w:tcPr>
            <w:tcW w:w="3159" w:type="dxa"/>
          </w:tcPr>
          <w:p>
            <w:pPr>
              <w:spacing w:before="0" w:after="60"/>
            </w:pPr>
            <w:r>
              <w:t xml:space="preserve">Channel</w:t>
            </w:r>
          </w:p>
        </w:tc>
        <w:tc>
          <w:tcPr>
            <w:tcW w:w="5867" w:type="dxa"/>
          </w:tcPr>
          <w:p>
            <w:pPr>
              <w:spacing w:before="0" w:after="60"/>
            </w:pPr>
            <w:r>
              <w:t xml:space="preserve">How the complaint was made</w:t>
            </w:r>
          </w:p>
        </w:tc>
      </w:tr>
      <w:tr>
        <w:trPr>
          <w:cantSplit/>
        </w:trPr>
        <w:tc>
          <w:tcPr>
            <w:tcW w:w="3159" w:type="dxa"/>
          </w:tcPr>
          <w:p>
            <w:pPr>
              <w:spacing w:before="0" w:after="60"/>
            </w:pPr>
            <w:r>
              <w:t xml:space="preserve">Activity / product</w:t>
            </w:r>
          </w:p>
        </w:tc>
        <w:tc>
          <w:tcPr>
            <w:tcW w:w="5867" w:type="dxa"/>
          </w:tcPr>
          <w:p>
            <w:pPr>
              <w:spacing w:before="0" w:after="60"/>
            </w:pPr>
            <w:r>
              <w:t xml:space="preserve">The regulated activity and product concerned</w:t>
            </w:r>
          </w:p>
        </w:tc>
      </w:tr>
      <w:tr>
        <w:trPr>
          <w:cantSplit/>
        </w:trPr>
        <w:tc>
          <w:tcPr>
            <w:tcW w:w="3159" w:type="dxa"/>
          </w:tcPr>
          <w:p>
            <w:pPr>
              <w:spacing w:before="0" w:after="60"/>
            </w:pPr>
            <w:r>
              <w:t xml:space="preserve">Summary</w:t>
            </w:r>
          </w:p>
        </w:tc>
        <w:tc>
          <w:tcPr>
            <w:tcW w:w="5867" w:type="dxa"/>
          </w:tcPr>
          <w:p>
            <w:pPr>
              <w:spacing w:before="0" w:after="60"/>
            </w:pPr>
            <w:r>
              <w:t xml:space="preserve">The points complained about, in the complainant’s words where possible</w:t>
            </w:r>
          </w:p>
        </w:tc>
      </w:tr>
      <w:tr>
        <w:trPr>
          <w:cantSplit/>
        </w:trPr>
        <w:tc>
          <w:tcPr>
            <w:tcW w:w="3159" w:type="dxa"/>
          </w:tcPr>
          <w:p>
            <w:pPr>
              <w:spacing w:before="0" w:after="60"/>
            </w:pPr>
            <w:r>
              <w:t xml:space="preserve">Vulnerability</w:t>
            </w:r>
          </w:p>
        </w:tc>
        <w:tc>
          <w:tcPr>
            <w:tcW w:w="5867" w:type="dxa"/>
          </w:tcPr>
          <w:p>
            <w:pPr>
              <w:spacing w:before="0" w:after="60"/>
            </w:pPr>
            <w:r>
              <w:t xml:space="preserve">Any characteristics of vulnerability and adjustments made</w:t>
            </w:r>
          </w:p>
        </w:tc>
      </w:tr>
      <w:tr>
        <w:trPr>
          <w:cantSplit/>
        </w:trPr>
        <w:tc>
          <w:tcPr>
            <w:tcW w:w="3159" w:type="dxa"/>
          </w:tcPr>
          <w:p>
            <w:pPr>
              <w:spacing w:before="0" w:after="60"/>
            </w:pPr>
            <w:r>
              <w:t xml:space="preserve">Dates</w:t>
            </w:r>
          </w:p>
        </w:tc>
        <w:tc>
          <w:tcPr>
            <w:tcW w:w="5867" w:type="dxa"/>
          </w:tcPr>
          <w:p>
            <w:pPr>
              <w:spacing w:before="0" w:after="60"/>
            </w:pPr>
            <w:r>
              <w:t xml:space="preserve">Acknowledgement date, any eight-week (or 15/35 business day) letter date, final response date</w:t>
            </w:r>
          </w:p>
        </w:tc>
      </w:tr>
      <w:tr>
        <w:trPr>
          <w:cantSplit/>
        </w:trPr>
        <w:tc>
          <w:tcPr>
            <w:tcW w:w="3159" w:type="dxa"/>
          </w:tcPr>
          <w:p>
            <w:pPr>
              <w:spacing w:before="0" w:after="60"/>
            </w:pPr>
            <w:r>
              <w:t xml:space="preserve">Outcome</w:t>
            </w:r>
          </w:p>
        </w:tc>
        <w:tc>
          <w:tcPr>
            <w:tcW w:w="5867" w:type="dxa"/>
          </w:tcPr>
          <w:p>
            <w:pPr>
              <w:spacing w:before="0" w:after="60"/>
            </w:pPr>
            <w:r>
              <w:t xml:space="preserve">Upheld, partly upheld, not upheld, or forwarded to another firm (with that firm’s name)</w:t>
            </w:r>
          </w:p>
        </w:tc>
      </w:tr>
      <w:tr>
        <w:trPr>
          <w:cantSplit/>
        </w:trPr>
        <w:tc>
          <w:tcPr>
            <w:tcW w:w="3159" w:type="dxa"/>
          </w:tcPr>
          <w:p>
            <w:pPr>
              <w:spacing w:before="0" w:after="60"/>
            </w:pPr>
            <w:r>
              <w:t xml:space="preserve">Redress</w:t>
            </w:r>
          </w:p>
        </w:tc>
        <w:tc>
          <w:tcPr>
            <w:tcW w:w="5867" w:type="dxa"/>
          </w:tcPr>
          <w:p>
            <w:pPr>
              <w:spacing w:before="0" w:after="60"/>
            </w:pPr>
            <w:r>
              <w:t xml:space="preserve">Amount and type of redress, and date paid</w:t>
            </w:r>
          </w:p>
        </w:tc>
      </w:tr>
      <w:tr>
        <w:trPr>
          <w:cantSplit/>
        </w:trPr>
        <w:tc>
          <w:tcPr>
            <w:tcW w:w="3159" w:type="dxa"/>
          </w:tcPr>
          <w:p>
            <w:pPr>
              <w:spacing w:before="0" w:after="60"/>
            </w:pPr>
            <w:r>
              <w:t xml:space="preserve">Root cause</w:t>
            </w:r>
          </w:p>
        </w:tc>
        <w:tc>
          <w:tcPr>
            <w:tcW w:w="5867" w:type="dxa"/>
          </w:tcPr>
          <w:p>
            <w:pPr>
              <w:spacing w:before="0" w:after="60"/>
            </w:pPr>
            <w:r>
              <w:t xml:space="preserve">The underlying cause and any wider action taken</w:t>
            </w:r>
          </w:p>
        </w:tc>
      </w:tr>
      <w:tr>
        <w:trPr>
          <w:cantSplit/>
        </w:trPr>
        <w:tc>
          <w:tcPr>
            <w:tcW w:w="3159" w:type="dxa"/>
          </w:tcPr>
          <w:p>
            <w:pPr>
              <w:spacing w:before="0" w:after="60"/>
            </w:pPr>
            <w:r>
              <w:t xml:space="preserve">Ombudsman</w:t>
            </w:r>
          </w:p>
        </w:tc>
        <w:tc>
          <w:tcPr>
            <w:tcW w:w="5867" w:type="dxa"/>
          </w:tcPr>
          <w:p>
            <w:pPr>
              <w:spacing w:before="0" w:after="60"/>
            </w:pPr>
            <w:r>
              <w:t xml:space="preserve">Whether referred to the Ombudsman, and the outcome</w:t>
            </w:r>
          </w:p>
        </w:tc>
      </w:tr>
    </w:tbl>
    <w:p>
      <w:pPr>
        <w:spacing w:before="0" w:after="0"/>
      </w:pPr>
    </w:p>
    <w:sectPr w:rsidR="00E35230" w:rsidRPr="00AB383C">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HM Treasury’s March 2026 response on reforming the Ombudsman includes changes to be made through the Financial Services and Markets Bill (for example, a greater focus on the law and regulations in force at the time), and a new Ombudsman registration stage is not expected before April 2027. These changes are not yet in force. Check the Ombudsman’s and FCA’s websites before relying on this section, and update it when the changes take effect.</w:t>
      </w:r>
    </w:p>
  </w:comment>
  <w:comment w:id="1" w:author="KMS Compliance" w:date="2026-09-25T00:00:00Z" w:initials="KMS">
    <w:p>
      <w:r>
        <w:t xml:space="preserve">KMS Compliance: this passage relies on FCA/Government material that is still in consultation or not yet in force. The FCA’s motor finance redress scheme (PS26/3) is subject to a legal challenge brought in May 2026, and the FCA has said parts of the scheme timetable may be paused. Firms should continue to prepare. Check the FCA’s motor finance pages for the current timetable before relying on 7A.3.</w:t>
      </w:r>
    </w:p>
  </w:comment>
  <w:comment w:id="2" w:author="KMS Compliance" w:date="2026-09-25T00:00:00Z" w:initials="KMS">
    <w:p>
      <w:r>
        <w:t xml:space="preserve">KMS Compliance: this passage relies on FCA/Government material that is still in consultation or not yet in force. The FCA’s motor finance redress scheme (PS26/3) is subject to a legal challenge brought in May 2026, and the FCA has said parts of the scheme timetable may be paused. Check the FCA’s motor finance pages for the current position before relying on 7F.4.</w:t>
      </w:r>
    </w:p>
  </w:comment>
  <w:comment w:id="3" w:author="KMS Compliance" w:date="2026-09-25T00:00:00Z" w:initials="KMS">
    <w:p>
      <w:r>
        <w:t xml:space="preserve">KMS Compliance: this passage relies on FCA/Government material that is still in consultation or not yet in force. The Government has announced that the Payment Systems Regulator will be consolidated into the FCA, and responsibility for the APP scam reimbursement requirements may move as part of that change. Check the current position before relying on 7K.4.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90AD9"/>
    <w:multiLevelType w:val="hybridMultilevel"/>
    <w:tmpl w:val="DED65EC4"/>
    <w:lvl w:ilvl="0" w:tplc="19DEDB70">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27773C"/>
    <w:multiLevelType w:val="hybridMultilevel"/>
    <w:tmpl w:val="3208E2D4"/>
    <w:lvl w:ilvl="0" w:tplc="00BC7E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8F49E4"/>
    <w:multiLevelType w:val="hybridMultilevel"/>
    <w:tmpl w:val="2722A0D8"/>
    <w:lvl w:ilvl="0" w:tplc="1A70A1B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EF1ABE"/>
    <w:multiLevelType w:val="hybridMultilevel"/>
    <w:tmpl w:val="AB020EB8"/>
    <w:lvl w:ilvl="0" w:tplc="1B0E69C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2444930">
    <w:abstractNumId w:val="2"/>
  </w:num>
  <w:num w:numId="2" w16cid:durableId="1432050396">
    <w:abstractNumId w:val="1"/>
  </w:num>
  <w:num w:numId="3" w16cid:durableId="1477338602">
    <w:abstractNumId w:val="3"/>
  </w:num>
  <w:num w:numId="4" w16cid:durableId="1620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F6"/>
    <w:rsid w:val="0004591C"/>
    <w:rsid w:val="000A5D43"/>
    <w:rsid w:val="000C1621"/>
    <w:rsid w:val="00202739"/>
    <w:rsid w:val="00214046"/>
    <w:rsid w:val="003A4D85"/>
    <w:rsid w:val="00417E8A"/>
    <w:rsid w:val="00494AF2"/>
    <w:rsid w:val="004B1A34"/>
    <w:rsid w:val="0052497C"/>
    <w:rsid w:val="0063056C"/>
    <w:rsid w:val="006D32B1"/>
    <w:rsid w:val="009039ED"/>
    <w:rsid w:val="00991507"/>
    <w:rsid w:val="00A0410E"/>
    <w:rsid w:val="00A806B1"/>
    <w:rsid w:val="00AB383C"/>
    <w:rsid w:val="00AE4E29"/>
    <w:rsid w:val="00B008F3"/>
    <w:rsid w:val="00B33FF6"/>
    <w:rsid w:val="00E35230"/>
    <w:rsid w:val="00E36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10B5"/>
  <w15:chartTrackingRefBased/>
  <w15:docId w15:val="{A40984DF-AF22-4623-B878-B0FEEA85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39"/>
    <w:pPr>
      <w:keepNext/>
      <w:keepLines/>
      <w:spacing w:before="240" w:after="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202739"/>
    <w:pPr>
      <w:keepNext/>
      <w:keepLines/>
      <w:spacing w:before="40" w:after="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semiHidden/>
    <w:unhideWhenUsed/>
    <w:qFormat/>
    <w:rsid w:val="00202739"/>
    <w:pPr>
      <w:keepNext/>
      <w:keepLines/>
      <w:spacing w:before="40" w:after="0"/>
      <w:outlineLvl w:val="2"/>
    </w:pPr>
    <w:rPr>
      <w:rFonts w:asciiTheme="majorHAnsi" w:eastAsiaTheme="majorEastAsia" w:hAnsiTheme="majorHAnsi" w:cstheme="majorBidi"/>
      <w:color w:val="538135" w:themeColor="accent6"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39"/>
    <w:rPr>
      <w:rFonts w:asciiTheme="majorHAnsi" w:eastAsiaTheme="majorEastAsia" w:hAnsiTheme="majorHAnsi" w:cstheme="majorBidi"/>
      <w:color w:val="538135" w:themeColor="accent6" w:themeShade="BF"/>
      <w:sz w:val="40"/>
      <w:szCs w:val="32"/>
    </w:rPr>
  </w:style>
  <w:style w:type="character" w:customStyle="1" w:styleId="Heading2Char">
    <w:name w:val="Heading 2 Char"/>
    <w:basedOn w:val="DefaultParagraphFont"/>
    <w:link w:val="Heading2"/>
    <w:uiPriority w:val="9"/>
    <w:rsid w:val="00202739"/>
    <w:rPr>
      <w:rFonts w:asciiTheme="majorHAnsi" w:eastAsiaTheme="majorEastAsia" w:hAnsiTheme="majorHAnsi" w:cstheme="majorBidi"/>
      <w:color w:val="538135" w:themeColor="accent6" w:themeShade="BF"/>
      <w:sz w:val="26"/>
      <w:szCs w:val="26"/>
    </w:rPr>
  </w:style>
  <w:style w:type="paragraph" w:styleId="ListParagraph">
    <w:name w:val="List Paragraph"/>
    <w:basedOn w:val="Normal"/>
    <w:uiPriority w:val="34"/>
    <w:qFormat/>
    <w:rsid w:val="00B33FF6"/>
    <w:pPr>
      <w:ind w:left="720"/>
      <w:contextualSpacing/>
    </w:pPr>
  </w:style>
  <w:style w:type="paragraph" w:styleId="NormalWeb">
    <w:name w:val="Normal (Web)"/>
    <w:basedOn w:val="Normal"/>
    <w:uiPriority w:val="99"/>
    <w:semiHidden/>
    <w:unhideWhenUsed/>
    <w:rsid w:val="006D32B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6D32B1"/>
    <w:rPr>
      <w:sz w:val="16"/>
      <w:szCs w:val="16"/>
    </w:rPr>
  </w:style>
  <w:style w:type="paragraph" w:styleId="CommentText">
    <w:name w:val="annotation text"/>
    <w:basedOn w:val="Normal"/>
    <w:link w:val="CommentTextChar"/>
    <w:uiPriority w:val="99"/>
    <w:unhideWhenUsed/>
    <w:rsid w:val="006D32B1"/>
    <w:pPr>
      <w:spacing w:line="240" w:lineRule="auto"/>
    </w:pPr>
    <w:rPr>
      <w:sz w:val="20"/>
      <w:szCs w:val="20"/>
    </w:rPr>
  </w:style>
  <w:style w:type="character" w:customStyle="1" w:styleId="CommentTextChar">
    <w:name w:val="Comment Text Char"/>
    <w:basedOn w:val="DefaultParagraphFont"/>
    <w:link w:val="CommentText"/>
    <w:uiPriority w:val="99"/>
    <w:rsid w:val="006D32B1"/>
    <w:rPr>
      <w:sz w:val="20"/>
      <w:szCs w:val="20"/>
    </w:rPr>
  </w:style>
  <w:style w:type="paragraph" w:styleId="CommentSubject">
    <w:name w:val="annotation subject"/>
    <w:basedOn w:val="CommentText"/>
    <w:next w:val="CommentText"/>
    <w:link w:val="CommentSubjectChar"/>
    <w:uiPriority w:val="99"/>
    <w:semiHidden/>
    <w:unhideWhenUsed/>
    <w:rsid w:val="006D32B1"/>
    <w:rPr>
      <w:b/>
      <w:bCs/>
    </w:rPr>
  </w:style>
  <w:style w:type="character" w:customStyle="1" w:styleId="CommentSubjectChar">
    <w:name w:val="Comment Subject Char"/>
    <w:basedOn w:val="CommentTextChar"/>
    <w:link w:val="CommentSubject"/>
    <w:uiPriority w:val="99"/>
    <w:semiHidden/>
    <w:rsid w:val="006D32B1"/>
    <w:rPr>
      <w:b/>
      <w:bCs/>
      <w:sz w:val="20"/>
      <w:szCs w:val="20"/>
    </w:rPr>
  </w:style>
  <w:style w:type="paragraph" w:customStyle="1" w:styleId="Default">
    <w:name w:val="Default"/>
    <w:rsid w:val="0004591C"/>
    <w:pPr>
      <w:autoSpaceDE w:val="0"/>
      <w:autoSpaceDN w:val="0"/>
      <w:adjustRightInd w:val="0"/>
      <w:spacing w:after="0" w:line="240" w:lineRule="auto"/>
    </w:pPr>
    <w:rPr>
      <w:rFonts w:ascii="Verdana" w:hAnsi="Verdana" w:cs="Verdana"/>
      <w:color w:val="000000"/>
      <w:sz w:val="24"/>
      <w:szCs w:val="24"/>
    </w:rPr>
  </w:style>
  <w:style w:type="character" w:customStyle="1" w:styleId="Heading3Char">
    <w:name w:val="Heading 3 Char"/>
    <w:basedOn w:val="DefaultParagraphFont"/>
    <w:link w:val="Heading3"/>
    <w:uiPriority w:val="9"/>
    <w:semiHidden/>
    <w:rsid w:val="00202739"/>
    <w:rPr>
      <w:rFonts w:asciiTheme="majorHAnsi" w:eastAsiaTheme="majorEastAsia" w:hAnsiTheme="majorHAnsi" w:cstheme="majorBidi"/>
      <w:color w:val="538135" w:themeColor="accent6"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47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3</cp:revision>
  <dcterms:created xsi:type="dcterms:W3CDTF">2026-02-02T21:30:00Z</dcterms:created>
  <dcterms:modified xsi:type="dcterms:W3CDTF">2026-02-02T21:30:00Z</dcterms:modified>
</cp:coreProperties>
</file>