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2026年7月10日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JPG／JPEG／PNG／HEIC／HEIF。1商品あたり9〜14枚。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10〜14枚目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コメントシール（最大5枚・順不同）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AIが解析するのは最大8枚（正面・斜め・裏蓋・コメントシール最大5枚）です。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裏蓋刻印で整合確認（4.1参照）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裏蓋採用時は裏蓋。正規化あり（4.4参照）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原則として文字盤（正面画像）の表記を採用します。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正面と裏蓋刻印が異なり、裏蓋が製品ブランドである場合は裏蓋刻印を採用します（例: 正面をTAG HEUERと誤読しても、裏蓋のELGIN刻印を採用）。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ただし裏蓋がムーブメント製造元名（CITIZEN、MIYOTA、SEIKO、ORIENT、ETA等）の場合は採用しません（例: RONSON製品の内部CITIZEN刻印）。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裏蓋刻印の読み取りが不安定な場合（複数回読んで一致しない場合）は採用せず、正面の判定を維持します（ノイズによる誤上書き防止）。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文字盤・裏蓋のどちらにもブランド表記が無い商品は、デザインからの推定となり誤りが生じることがあります。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コメントシールから取得（＃コメント。複数枚・1枚内に複数記載でも全て連結）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コメントシールから取得（複数の場合は「 / 」区切りで連結）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一括送信によりAPI料金が50%割引になります。全機能有効。条件付きの追い読み（裏蓋ブランド再確認・型番再読み取り・スローガン判定）のみ通常料金ですが、発生はまれでコスト影響は軽微です。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ブランド表記が皆無の商品はデザインからの推定となり、誤りが生じることがあります。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ブランド100%・型番90%（判読可能分）・本体色97%・文字盤色87%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