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Réponse impulsionnelle → </w:t>
      </w:r>
      <m:oMath>
        <m:r>
          <m:t>σ</m:t>
        </m:r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en entrée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Réponse indicielle→ </w:t>
      </w:r>
      <m:oMath>
        <m:r>
          <w:rPr/>
          <m:t xml:space="preserve">1(t)</m:t>
        </m:r>
      </m:oMath>
      <w:r w:rsidDel="00000000" w:rsidR="00000000" w:rsidRPr="00000000">
        <w:rPr>
          <w:rtl w:val="0"/>
        </w:rPr>
        <w:t xml:space="preserve"> en entrée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Réponse forcée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Réponse libre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Relation de récurrence entrée/sortie du système: y(k) en fonction de x(k)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fonction de transfert: G(z) = Y(z)/X(z)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