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812" w:rsidRDefault="00674905" w:rsidP="001B5628">
      <w:pPr>
        <w:spacing w:after="0"/>
        <w:rPr>
          <w:rFonts w:ascii="Comic Sans MS" w:hAnsi="Comic Sans MS"/>
          <w:b/>
          <w:sz w:val="20"/>
          <w:szCs w:val="20"/>
        </w:rPr>
      </w:pPr>
      <w:r w:rsidRPr="001219A0">
        <w:rPr>
          <w:rFonts w:ascii="Comic Sans MS" w:hAnsi="Comic Sans MS"/>
          <w:b/>
          <w:sz w:val="20"/>
          <w:szCs w:val="20"/>
        </w:rPr>
        <w:t>C5 : L’analyse du résultat et de sa formation</w:t>
      </w:r>
    </w:p>
    <w:p w:rsidR="00674905" w:rsidRDefault="001219A0" w:rsidP="001B5628">
      <w:pPr>
        <w:spacing w:after="0"/>
        <w:rPr>
          <w:rFonts w:ascii="Comic Sans MS" w:hAnsi="Comic Sans MS"/>
          <w:bCs/>
          <w:sz w:val="20"/>
          <w:szCs w:val="20"/>
        </w:rPr>
      </w:pPr>
      <w:r w:rsidRPr="001219A0">
        <w:rPr>
          <w:rFonts w:ascii="Comic Sans MS" w:hAnsi="Comic Sans MS"/>
          <w:bCs/>
          <w:sz w:val="20"/>
          <w:szCs w:val="20"/>
        </w:rPr>
        <w:t>Une entreprise est performante si elle est capable de générer un résultat positif à partir de son activité. Le niveau de bénéfice réalisé devra être suffisant pour assurer son développement mais aussi pour satisfaire ses associés à travers le versement de dividendes.</w:t>
      </w:r>
    </w:p>
    <w:p w:rsidR="001219A0" w:rsidRPr="001219A0" w:rsidRDefault="001219A0" w:rsidP="001219A0">
      <w:pPr>
        <w:spacing w:after="60" w:line="240" w:lineRule="auto"/>
        <w:jc w:val="both"/>
        <w:rPr>
          <w:rFonts w:ascii="Comic Sans MS" w:eastAsia="Times New Roman" w:hAnsi="Comic Sans MS"/>
          <w:bCs/>
          <w:sz w:val="20"/>
          <w:szCs w:val="20"/>
          <w:lang w:eastAsia="ar-SA"/>
        </w:rPr>
      </w:pPr>
      <w:r w:rsidRPr="001219A0">
        <w:rPr>
          <w:rFonts w:ascii="Comic Sans MS" w:eastAsia="Times New Roman" w:hAnsi="Comic Sans MS"/>
          <w:bCs/>
          <w:sz w:val="20"/>
          <w:szCs w:val="20"/>
          <w:lang w:eastAsia="ar-SA"/>
        </w:rPr>
        <w:t>Généralement, la profitabilité d’une entreprise est calculée par le rapport suivant :</w:t>
      </w:r>
    </w:p>
    <w:p w:rsidR="001219A0" w:rsidRPr="001219A0" w:rsidRDefault="001219A0" w:rsidP="001219A0">
      <w:pPr>
        <w:pBdr>
          <w:top w:val="single" w:sz="4" w:space="1" w:color="auto"/>
          <w:left w:val="single" w:sz="4" w:space="4" w:color="auto"/>
          <w:bottom w:val="single" w:sz="4" w:space="1" w:color="auto"/>
          <w:right w:val="single" w:sz="4" w:space="4" w:color="auto"/>
        </w:pBdr>
        <w:spacing w:after="60" w:line="240" w:lineRule="auto"/>
        <w:ind w:left="709" w:right="709"/>
        <w:jc w:val="center"/>
        <w:rPr>
          <w:rFonts w:ascii="Comic Sans MS" w:eastAsia="Times New Roman" w:hAnsi="Comic Sans MS"/>
          <w:b/>
          <w:bCs/>
          <w:sz w:val="20"/>
          <w:szCs w:val="20"/>
          <w:lang w:eastAsia="ar-SA"/>
        </w:rPr>
      </w:pPr>
      <w:r w:rsidRPr="001219A0">
        <w:rPr>
          <w:rFonts w:ascii="Comic Sans MS" w:eastAsia="Times New Roman" w:hAnsi="Comic Sans MS"/>
          <w:b/>
          <w:bCs/>
          <w:sz w:val="20"/>
          <w:szCs w:val="20"/>
          <w:lang w:eastAsia="ar-SA"/>
        </w:rPr>
        <w:t>Taux de profitabilité = Résultat de l’exercice / Chiffre d’affaires de l’exercice</w:t>
      </w:r>
    </w:p>
    <w:p w:rsidR="001219A0" w:rsidRPr="001219A0" w:rsidRDefault="001219A0" w:rsidP="001219A0">
      <w:pPr>
        <w:spacing w:after="60" w:line="240" w:lineRule="auto"/>
        <w:jc w:val="both"/>
        <w:rPr>
          <w:rFonts w:ascii="Comic Sans MS" w:eastAsia="Times New Roman" w:hAnsi="Comic Sans MS"/>
          <w:bCs/>
          <w:sz w:val="20"/>
          <w:szCs w:val="20"/>
          <w:lang w:eastAsia="ar-SA"/>
        </w:rPr>
      </w:pPr>
      <w:r w:rsidRPr="001219A0">
        <w:rPr>
          <w:rFonts w:ascii="Comic Sans MS" w:eastAsia="Times New Roman" w:hAnsi="Comic Sans MS"/>
          <w:bCs/>
          <w:sz w:val="20"/>
          <w:szCs w:val="20"/>
          <w:lang w:eastAsia="ar-SA"/>
        </w:rPr>
        <w:t>Pour approfondir l’analyse de la profitabilité d’une entreprise, il est possible de travailler avec un résultat intermédiaire à la place d’un résultat global qui, par définition, regroupe une grande diversité d’éléments.</w:t>
      </w:r>
    </w:p>
    <w:p w:rsidR="001219A0" w:rsidRDefault="001219A0" w:rsidP="001219A0">
      <w:pPr>
        <w:spacing w:after="0"/>
        <w:rPr>
          <w:rFonts w:ascii="Comic Sans MS" w:eastAsia="Times New Roman" w:hAnsi="Comic Sans MS" w:cs="Arial"/>
          <w:bCs/>
          <w:sz w:val="20"/>
          <w:szCs w:val="20"/>
          <w:lang w:eastAsia="ar-SA"/>
        </w:rPr>
      </w:pPr>
      <w:r w:rsidRPr="001219A0">
        <w:rPr>
          <w:rFonts w:ascii="Comic Sans MS" w:eastAsia="Times New Roman" w:hAnsi="Comic Sans MS" w:cs="Arial"/>
          <w:bCs/>
          <w:sz w:val="20"/>
          <w:szCs w:val="20"/>
          <w:lang w:eastAsia="ar-SA"/>
        </w:rPr>
        <w:t>Il s’agit alors d’étudier la formation du résultat de l’exercice. Le principe est de comparer les charges et les produits de même nature économique afin de dégager des résultats partiels appelés « soldes intermédiaires de gestion » (SIG)</w:t>
      </w:r>
    </w:p>
    <w:p w:rsidR="00034611" w:rsidRPr="00034611" w:rsidRDefault="00034611" w:rsidP="00034611">
      <w:pPr>
        <w:numPr>
          <w:ilvl w:val="0"/>
          <w:numId w:val="1"/>
        </w:numPr>
        <w:spacing w:after="0"/>
        <w:rPr>
          <w:rFonts w:ascii="Comic Sans MS" w:hAnsi="Comic Sans MS"/>
          <w:b/>
          <w:sz w:val="20"/>
          <w:szCs w:val="20"/>
        </w:rPr>
      </w:pPr>
      <w:r w:rsidRPr="00034611">
        <w:rPr>
          <w:rFonts w:ascii="Comic Sans MS" w:eastAsia="Times New Roman" w:hAnsi="Comic Sans MS" w:cs="Arial"/>
          <w:b/>
          <w:bCs/>
          <w:sz w:val="20"/>
          <w:szCs w:val="20"/>
          <w:lang w:eastAsia="ar-SA"/>
        </w:rPr>
        <w:t>Le Tableau des Soldes Intermédiaires de Gestion : SIG</w:t>
      </w:r>
    </w:p>
    <w:p w:rsidR="00034611" w:rsidRPr="00932048" w:rsidRDefault="00034611" w:rsidP="00034611">
      <w:pPr>
        <w:pStyle w:val="Titre3ter"/>
        <w:rPr>
          <w:rFonts w:ascii="Comic Sans MS" w:hAnsi="Comic Sans MS"/>
          <w:sz w:val="20"/>
          <w:szCs w:val="20"/>
        </w:rPr>
      </w:pPr>
      <w:r w:rsidRPr="00932048">
        <w:rPr>
          <w:rFonts w:ascii="Comic Sans MS" w:hAnsi="Comic Sans MS"/>
          <w:sz w:val="20"/>
          <w:szCs w:val="20"/>
        </w:rPr>
        <w:t>a) L’excédent brut d’exploitation (EBE)</w:t>
      </w:r>
    </w:p>
    <w:p w:rsidR="00034611" w:rsidRPr="00932048" w:rsidRDefault="00034611" w:rsidP="00034611">
      <w:pPr>
        <w:pStyle w:val="Textecourant"/>
        <w:rPr>
          <w:rFonts w:ascii="Comic Sans MS" w:hAnsi="Comic Sans MS"/>
          <w:sz w:val="20"/>
          <w:szCs w:val="20"/>
        </w:rPr>
      </w:pPr>
      <w:r w:rsidRPr="00932048">
        <w:rPr>
          <w:rFonts w:ascii="Comic Sans MS" w:hAnsi="Comic Sans MS"/>
          <w:sz w:val="20"/>
          <w:szCs w:val="20"/>
        </w:rPr>
        <w:t xml:space="preserve">L’EBE correspond à la marge générée par l’activité courante de l’entreprise sans prendre en compte ni sa politique d’investissement (les amortissements) ni sa gestion financière (les charges et les produits financiers). Il est constitué exclusivement de flux monétaires, générés par l’exploitation. </w:t>
      </w:r>
    </w:p>
    <w:p w:rsidR="00034611" w:rsidRPr="00932048" w:rsidRDefault="00034611" w:rsidP="00034611">
      <w:pPr>
        <w:pStyle w:val="Textecourant"/>
        <w:rPr>
          <w:rFonts w:ascii="Comic Sans MS" w:hAnsi="Comic Sans MS"/>
          <w:sz w:val="20"/>
          <w:szCs w:val="20"/>
        </w:rPr>
      </w:pPr>
      <w:r w:rsidRPr="00932048">
        <w:rPr>
          <w:rFonts w:ascii="Comic Sans MS" w:hAnsi="Comic Sans MS"/>
          <w:sz w:val="20"/>
          <w:szCs w:val="20"/>
        </w:rPr>
        <w:t xml:space="preserve">L’EBE se calcule généralement à partir de la valeur ajoutée (VA), qui correspond à la richesse créée par l’entreprise et s’obtient par le calcul suivant : </w:t>
      </w:r>
    </w:p>
    <w:p w:rsidR="00034611" w:rsidRPr="00932048" w:rsidRDefault="00034611" w:rsidP="00034611">
      <w:pPr>
        <w:pStyle w:val="Textecourant"/>
        <w:jc w:val="center"/>
        <w:rPr>
          <w:rFonts w:ascii="Comic Sans MS" w:hAnsi="Comic Sans MS"/>
          <w:sz w:val="20"/>
          <w:szCs w:val="20"/>
        </w:rPr>
      </w:pPr>
      <w:r w:rsidRPr="00932048">
        <w:rPr>
          <w:rFonts w:ascii="Comic Sans MS" w:hAnsi="Comic Sans MS"/>
          <w:sz w:val="20"/>
          <w:szCs w:val="20"/>
        </w:rPr>
        <w:t>VA = Chiffre d’affaires – Consommations en provenance des tiers (achats de biens et de services)</w:t>
      </w:r>
    </w:p>
    <w:p w:rsidR="00034611" w:rsidRPr="00932048" w:rsidRDefault="00034611" w:rsidP="00034611">
      <w:pPr>
        <w:pStyle w:val="Textecourant"/>
        <w:rPr>
          <w:rFonts w:ascii="Comic Sans MS" w:hAnsi="Comic Sans MS"/>
          <w:sz w:val="20"/>
          <w:szCs w:val="20"/>
        </w:rPr>
      </w:pPr>
      <w:r w:rsidRPr="00932048">
        <w:rPr>
          <w:rFonts w:ascii="Comic Sans MS" w:hAnsi="Comic Sans MS"/>
          <w:sz w:val="20"/>
          <w:szCs w:val="20"/>
        </w:rPr>
        <w:t>Il tient compte de l’intervention de l’État (prélèvements obligatoires mais aussi aides diverses) et du poids des salariés à travers le coût du travail :</w:t>
      </w:r>
    </w:p>
    <w:p w:rsidR="00034611" w:rsidRPr="00932048" w:rsidRDefault="00034611" w:rsidP="00034611">
      <w:pPr>
        <w:pStyle w:val="Textecourant"/>
        <w:pBdr>
          <w:top w:val="single" w:sz="4" w:space="1" w:color="auto"/>
          <w:left w:val="single" w:sz="4" w:space="4" w:color="auto"/>
          <w:bottom w:val="single" w:sz="4" w:space="1" w:color="auto"/>
          <w:right w:val="single" w:sz="4" w:space="4" w:color="auto"/>
        </w:pBdr>
        <w:ind w:left="425" w:right="425"/>
        <w:jc w:val="center"/>
        <w:rPr>
          <w:rFonts w:ascii="Comic Sans MS" w:hAnsi="Comic Sans MS"/>
          <w:b/>
          <w:sz w:val="20"/>
          <w:szCs w:val="20"/>
        </w:rPr>
      </w:pPr>
      <w:r w:rsidRPr="00932048">
        <w:rPr>
          <w:rFonts w:ascii="Comic Sans MS" w:hAnsi="Comic Sans MS"/>
          <w:b/>
          <w:sz w:val="20"/>
          <w:szCs w:val="20"/>
        </w:rPr>
        <w:t>EBE = VA + Subventions d’exploitation – (Impôts et taxes + Charges de personnel)</w:t>
      </w:r>
    </w:p>
    <w:p w:rsidR="00034611" w:rsidRPr="00932048" w:rsidRDefault="00034611" w:rsidP="00034611">
      <w:pPr>
        <w:pStyle w:val="Textecourant"/>
        <w:rPr>
          <w:rFonts w:ascii="Comic Sans MS" w:hAnsi="Comic Sans MS"/>
          <w:sz w:val="20"/>
          <w:szCs w:val="20"/>
        </w:rPr>
      </w:pPr>
      <w:r w:rsidRPr="00932048">
        <w:rPr>
          <w:rFonts w:ascii="Comic Sans MS" w:hAnsi="Comic Sans MS"/>
          <w:sz w:val="20"/>
          <w:szCs w:val="20"/>
        </w:rPr>
        <w:t xml:space="preserve">Cet indicateur permet d’isoler la rentabilité du cycle d’exploitation de l’entreprise. À noter que, dans certains cas défavorables, il peut être négatif. Il s’agit alors d’une insuffisance brute d’exploitation (IBE). </w:t>
      </w:r>
    </w:p>
    <w:p w:rsidR="00034611" w:rsidRPr="00932048" w:rsidRDefault="00034611" w:rsidP="00034611">
      <w:pPr>
        <w:pStyle w:val="Titre3ter"/>
        <w:rPr>
          <w:rFonts w:ascii="Comic Sans MS" w:hAnsi="Comic Sans MS"/>
          <w:sz w:val="20"/>
          <w:szCs w:val="20"/>
        </w:rPr>
      </w:pPr>
      <w:r w:rsidRPr="00932048">
        <w:rPr>
          <w:rFonts w:ascii="Comic Sans MS" w:hAnsi="Comic Sans MS"/>
          <w:sz w:val="20"/>
          <w:szCs w:val="20"/>
        </w:rPr>
        <w:t>b) Le résultat d’exploitation (RE)</w:t>
      </w:r>
    </w:p>
    <w:p w:rsidR="00034611" w:rsidRPr="00932048" w:rsidRDefault="00034611" w:rsidP="00034611">
      <w:pPr>
        <w:pStyle w:val="Textecourant"/>
        <w:rPr>
          <w:rFonts w:ascii="Comic Sans MS" w:hAnsi="Comic Sans MS"/>
          <w:sz w:val="20"/>
          <w:szCs w:val="20"/>
        </w:rPr>
      </w:pPr>
      <w:r w:rsidRPr="00932048">
        <w:rPr>
          <w:rFonts w:ascii="Comic Sans MS" w:hAnsi="Comic Sans MS"/>
          <w:sz w:val="20"/>
          <w:szCs w:val="20"/>
        </w:rPr>
        <w:t>Le résultat d’exploitation prend en compte la totalité des flux liés à l’exploitation. Il correspond à la performance de l’activité courante car il exclut les éléments financiers et exceptionnels. Il est fonction du montant de l’EBE :</w:t>
      </w:r>
    </w:p>
    <w:p w:rsidR="00034611" w:rsidRPr="00932048" w:rsidRDefault="00034611" w:rsidP="00034611">
      <w:pPr>
        <w:pStyle w:val="Textecourant"/>
        <w:pBdr>
          <w:top w:val="single" w:sz="4" w:space="1" w:color="auto"/>
          <w:left w:val="single" w:sz="4" w:space="4" w:color="auto"/>
          <w:bottom w:val="single" w:sz="4" w:space="1" w:color="auto"/>
          <w:right w:val="single" w:sz="4" w:space="4" w:color="auto"/>
        </w:pBdr>
        <w:tabs>
          <w:tab w:val="left" w:pos="2637"/>
          <w:tab w:val="left" w:pos="2835"/>
        </w:tabs>
        <w:spacing w:after="0"/>
        <w:rPr>
          <w:rFonts w:ascii="Comic Sans MS" w:hAnsi="Comic Sans MS"/>
          <w:b/>
          <w:sz w:val="20"/>
          <w:szCs w:val="20"/>
        </w:rPr>
      </w:pPr>
      <w:r w:rsidRPr="00932048">
        <w:rPr>
          <w:rFonts w:ascii="Comic Sans MS" w:hAnsi="Comic Sans MS"/>
          <w:b/>
          <w:sz w:val="20"/>
          <w:szCs w:val="20"/>
        </w:rPr>
        <w:t>Résultat d’exploitation =</w:t>
      </w:r>
      <w:r w:rsidRPr="00932048">
        <w:rPr>
          <w:rFonts w:ascii="Comic Sans MS" w:hAnsi="Comic Sans MS"/>
          <w:b/>
          <w:sz w:val="20"/>
          <w:szCs w:val="20"/>
        </w:rPr>
        <w:tab/>
        <w:t xml:space="preserve">EBE </w:t>
      </w:r>
    </w:p>
    <w:p w:rsidR="00034611" w:rsidRPr="00932048" w:rsidRDefault="00034611" w:rsidP="00034611">
      <w:pPr>
        <w:pStyle w:val="Textecourant"/>
        <w:pBdr>
          <w:top w:val="single" w:sz="4" w:space="1" w:color="auto"/>
          <w:left w:val="single" w:sz="4" w:space="4" w:color="auto"/>
          <w:bottom w:val="single" w:sz="4" w:space="1" w:color="auto"/>
          <w:right w:val="single" w:sz="4" w:space="4" w:color="auto"/>
        </w:pBdr>
        <w:tabs>
          <w:tab w:val="left" w:pos="2637"/>
          <w:tab w:val="left" w:pos="2835"/>
        </w:tabs>
        <w:spacing w:after="0"/>
        <w:jc w:val="left"/>
        <w:rPr>
          <w:rFonts w:ascii="Comic Sans MS" w:hAnsi="Comic Sans MS"/>
          <w:b/>
          <w:sz w:val="20"/>
          <w:szCs w:val="20"/>
        </w:rPr>
      </w:pPr>
      <w:r w:rsidRPr="00932048">
        <w:rPr>
          <w:rFonts w:ascii="Comic Sans MS" w:hAnsi="Comic Sans MS"/>
          <w:b/>
          <w:sz w:val="20"/>
          <w:szCs w:val="20"/>
        </w:rPr>
        <w:tab/>
        <w:t xml:space="preserve">+ Autres produits + Reprises sur dépréciations et provisions </w:t>
      </w:r>
    </w:p>
    <w:p w:rsidR="00034611" w:rsidRPr="00932048" w:rsidRDefault="00034611" w:rsidP="00034611">
      <w:pPr>
        <w:pStyle w:val="Textecourant"/>
        <w:pBdr>
          <w:top w:val="single" w:sz="4" w:space="1" w:color="auto"/>
          <w:left w:val="single" w:sz="4" w:space="4" w:color="auto"/>
          <w:bottom w:val="single" w:sz="4" w:space="1" w:color="auto"/>
          <w:right w:val="single" w:sz="4" w:space="4" w:color="auto"/>
        </w:pBdr>
        <w:tabs>
          <w:tab w:val="left" w:pos="2637"/>
          <w:tab w:val="left" w:pos="2835"/>
        </w:tabs>
        <w:spacing w:after="0"/>
        <w:jc w:val="left"/>
        <w:rPr>
          <w:rFonts w:ascii="Comic Sans MS" w:hAnsi="Comic Sans MS"/>
          <w:b/>
          <w:sz w:val="20"/>
          <w:szCs w:val="20"/>
        </w:rPr>
      </w:pPr>
      <w:r w:rsidRPr="00932048">
        <w:rPr>
          <w:rFonts w:ascii="Comic Sans MS" w:hAnsi="Comic Sans MS"/>
          <w:b/>
          <w:sz w:val="20"/>
          <w:szCs w:val="20"/>
        </w:rPr>
        <w:tab/>
      </w:r>
      <w:r w:rsidRPr="00932048">
        <w:rPr>
          <w:rFonts w:ascii="Comic Sans MS" w:hAnsi="Comic Sans MS"/>
          <w:b/>
          <w:sz w:val="20"/>
          <w:szCs w:val="20"/>
        </w:rPr>
        <w:tab/>
        <w:t>d’exploitation</w:t>
      </w:r>
    </w:p>
    <w:p w:rsidR="00034611" w:rsidRPr="00932048" w:rsidRDefault="00034611" w:rsidP="00034611">
      <w:pPr>
        <w:pStyle w:val="Textecourant"/>
        <w:pBdr>
          <w:top w:val="single" w:sz="4" w:space="1" w:color="auto"/>
          <w:left w:val="single" w:sz="4" w:space="4" w:color="auto"/>
          <w:bottom w:val="single" w:sz="4" w:space="1" w:color="auto"/>
          <w:right w:val="single" w:sz="4" w:space="4" w:color="auto"/>
        </w:pBdr>
        <w:tabs>
          <w:tab w:val="left" w:pos="2637"/>
          <w:tab w:val="left" w:pos="2835"/>
        </w:tabs>
        <w:spacing w:after="0"/>
        <w:jc w:val="left"/>
        <w:rPr>
          <w:rFonts w:ascii="Comic Sans MS" w:hAnsi="Comic Sans MS"/>
          <w:b/>
          <w:sz w:val="20"/>
          <w:szCs w:val="20"/>
        </w:rPr>
      </w:pPr>
      <w:r w:rsidRPr="00932048">
        <w:rPr>
          <w:rFonts w:ascii="Comic Sans MS" w:hAnsi="Comic Sans MS"/>
          <w:b/>
          <w:sz w:val="20"/>
          <w:szCs w:val="20"/>
        </w:rPr>
        <w:tab/>
        <w:t xml:space="preserve">– Autres charges + Dotations aux amortissements, aux dépréciations </w:t>
      </w:r>
    </w:p>
    <w:p w:rsidR="00034611" w:rsidRPr="00932048" w:rsidRDefault="00034611" w:rsidP="00034611">
      <w:pPr>
        <w:pStyle w:val="Textecourant"/>
        <w:pBdr>
          <w:top w:val="single" w:sz="4" w:space="1" w:color="auto"/>
          <w:left w:val="single" w:sz="4" w:space="4" w:color="auto"/>
          <w:bottom w:val="single" w:sz="4" w:space="1" w:color="auto"/>
          <w:right w:val="single" w:sz="4" w:space="4" w:color="auto"/>
        </w:pBdr>
        <w:tabs>
          <w:tab w:val="left" w:pos="2637"/>
          <w:tab w:val="left" w:pos="2835"/>
        </w:tabs>
        <w:jc w:val="left"/>
        <w:rPr>
          <w:rFonts w:ascii="Comic Sans MS" w:hAnsi="Comic Sans MS"/>
          <w:b/>
          <w:sz w:val="20"/>
          <w:szCs w:val="20"/>
        </w:rPr>
      </w:pPr>
      <w:r w:rsidRPr="00932048">
        <w:rPr>
          <w:rFonts w:ascii="Comic Sans MS" w:hAnsi="Comic Sans MS"/>
          <w:b/>
          <w:sz w:val="20"/>
          <w:szCs w:val="20"/>
        </w:rPr>
        <w:tab/>
      </w:r>
      <w:r w:rsidRPr="00932048">
        <w:rPr>
          <w:rFonts w:ascii="Comic Sans MS" w:hAnsi="Comic Sans MS"/>
          <w:b/>
          <w:sz w:val="20"/>
          <w:szCs w:val="20"/>
        </w:rPr>
        <w:tab/>
        <w:t>et aux provisions d’exploitation</w:t>
      </w:r>
    </w:p>
    <w:p w:rsidR="00034611" w:rsidRPr="00932048" w:rsidRDefault="00034611" w:rsidP="00034611">
      <w:pPr>
        <w:pStyle w:val="Titre3ter"/>
        <w:rPr>
          <w:rFonts w:ascii="Comic Sans MS" w:hAnsi="Comic Sans MS"/>
          <w:sz w:val="20"/>
          <w:szCs w:val="20"/>
        </w:rPr>
      </w:pPr>
      <w:r w:rsidRPr="00932048">
        <w:rPr>
          <w:rFonts w:ascii="Comic Sans MS" w:hAnsi="Comic Sans MS"/>
          <w:sz w:val="20"/>
          <w:szCs w:val="20"/>
        </w:rPr>
        <w:t>c) Le résultat courant avant impôt (RCAI)</w:t>
      </w:r>
    </w:p>
    <w:p w:rsidR="00034611" w:rsidRPr="00932048" w:rsidRDefault="00034611" w:rsidP="00034611">
      <w:pPr>
        <w:pStyle w:val="Textecourant"/>
        <w:rPr>
          <w:rFonts w:ascii="Comic Sans MS" w:hAnsi="Comic Sans MS"/>
          <w:sz w:val="20"/>
          <w:szCs w:val="20"/>
          <w:lang w:eastAsia="fr-FR"/>
        </w:rPr>
      </w:pPr>
      <w:r w:rsidRPr="00932048">
        <w:rPr>
          <w:rFonts w:ascii="Comic Sans MS" w:hAnsi="Comic Sans MS"/>
          <w:sz w:val="20"/>
          <w:szCs w:val="20"/>
          <w:lang w:eastAsia="fr-FR"/>
        </w:rPr>
        <w:t>Le RCAI correspond au résultat de l’entreprise après la prise en compte des charges et des produits d’exploitation et financiers. La politique de financement, en particulier le recours aux emprunts bancaires, est donc intégrée dans le calcul de ce solde. Son montant est fonction du résultat d’exploitation complété par les éléments suivants :</w:t>
      </w:r>
    </w:p>
    <w:p w:rsidR="00034611" w:rsidRPr="00932048" w:rsidRDefault="00034611" w:rsidP="00034611">
      <w:pPr>
        <w:pStyle w:val="Textecourant"/>
        <w:pBdr>
          <w:top w:val="single" w:sz="4" w:space="1" w:color="auto"/>
          <w:left w:val="single" w:sz="4" w:space="4" w:color="auto"/>
          <w:bottom w:val="single" w:sz="4" w:space="1" w:color="auto"/>
          <w:right w:val="single" w:sz="4" w:space="4" w:color="auto"/>
        </w:pBdr>
        <w:ind w:left="851" w:right="851"/>
        <w:jc w:val="center"/>
        <w:rPr>
          <w:rFonts w:ascii="Comic Sans MS" w:hAnsi="Comic Sans MS"/>
          <w:b/>
          <w:sz w:val="20"/>
          <w:szCs w:val="20"/>
          <w:lang w:eastAsia="fr-FR"/>
        </w:rPr>
      </w:pPr>
      <w:r w:rsidRPr="00932048">
        <w:rPr>
          <w:rFonts w:ascii="Comic Sans MS" w:hAnsi="Comic Sans MS"/>
          <w:b/>
          <w:sz w:val="20"/>
          <w:szCs w:val="20"/>
          <w:lang w:eastAsia="fr-FR"/>
        </w:rPr>
        <w:t>RCAI = Résultat d’exploitation + Produits financiers – Charges financières</w:t>
      </w:r>
    </w:p>
    <w:p w:rsidR="00034611" w:rsidRPr="00034611" w:rsidRDefault="00034611" w:rsidP="00034611">
      <w:pPr>
        <w:spacing w:after="0"/>
        <w:rPr>
          <w:rFonts w:ascii="Comic Sans MS" w:hAnsi="Comic Sans MS"/>
          <w:bCs/>
          <w:sz w:val="20"/>
          <w:szCs w:val="20"/>
          <w:u w:val="single"/>
          <w:lang w:val="x-none"/>
        </w:rPr>
      </w:pPr>
    </w:p>
    <w:p w:rsidR="00034611" w:rsidRPr="00034611" w:rsidRDefault="00034611" w:rsidP="00034611">
      <w:pPr>
        <w:spacing w:after="0"/>
        <w:rPr>
          <w:rFonts w:ascii="Comic Sans MS" w:hAnsi="Comic Sans MS"/>
          <w:b/>
          <w:bCs/>
          <w:sz w:val="20"/>
          <w:szCs w:val="20"/>
          <w:u w:val="single"/>
          <w:lang w:val="x-none"/>
        </w:rPr>
      </w:pPr>
      <w:r w:rsidRPr="00034611">
        <w:rPr>
          <w:rFonts w:ascii="Comic Sans MS" w:hAnsi="Comic Sans MS"/>
          <w:b/>
          <w:bCs/>
          <w:sz w:val="20"/>
          <w:szCs w:val="20"/>
          <w:u w:val="single"/>
          <w:lang w:val="x-none"/>
        </w:rPr>
        <w:t>2. L’activité génère une ressource</w:t>
      </w:r>
    </w:p>
    <w:p w:rsidR="00034611" w:rsidRPr="00034611" w:rsidRDefault="00034611" w:rsidP="00034611">
      <w:pPr>
        <w:spacing w:after="0"/>
        <w:rPr>
          <w:rFonts w:ascii="Comic Sans MS" w:hAnsi="Comic Sans MS"/>
          <w:bCs/>
          <w:sz w:val="20"/>
          <w:szCs w:val="20"/>
        </w:rPr>
      </w:pPr>
      <w:r w:rsidRPr="00034611">
        <w:rPr>
          <w:rFonts w:ascii="Comic Sans MS" w:hAnsi="Comic Sans MS"/>
          <w:bCs/>
          <w:sz w:val="20"/>
          <w:szCs w:val="20"/>
        </w:rPr>
        <w:t>Une entreprise est profitable si son activité est capable de générer un excédent de ressources financières. Cette trésorerie potentielle correspond à la capacité d’autofinancement (CAF) de l’entreprise. Celle-ci est nécessaire car elle permet de financer les futurs investissements, de rémunérer le capital (versement des dividendes) et de rembourser les emprunts contractés.</w:t>
      </w:r>
    </w:p>
    <w:p w:rsidR="00034611" w:rsidRPr="00034611" w:rsidRDefault="00034611" w:rsidP="00034611">
      <w:pPr>
        <w:spacing w:after="0"/>
        <w:rPr>
          <w:rFonts w:ascii="Comic Sans MS" w:hAnsi="Comic Sans MS"/>
          <w:bCs/>
          <w:sz w:val="20"/>
          <w:szCs w:val="20"/>
        </w:rPr>
      </w:pPr>
      <w:smartTag w:uri="urn:schemas-microsoft-com:office:smarttags" w:element="PersonName">
        <w:smartTagPr>
          <w:attr w:name="ProductID" w:val="la CAF"/>
        </w:smartTagPr>
        <w:r w:rsidRPr="00034611">
          <w:rPr>
            <w:rFonts w:ascii="Comic Sans MS" w:hAnsi="Comic Sans MS"/>
            <w:bCs/>
            <w:sz w:val="20"/>
            <w:szCs w:val="20"/>
          </w:rPr>
          <w:t>La CAF</w:t>
        </w:r>
      </w:smartTag>
      <w:r w:rsidRPr="00034611">
        <w:rPr>
          <w:rFonts w:ascii="Comic Sans MS" w:hAnsi="Comic Sans MS"/>
          <w:bCs/>
          <w:sz w:val="20"/>
          <w:szCs w:val="20"/>
        </w:rPr>
        <w:t xml:space="preserve"> correspond à la différence entre les produits encaissables (éléments qui engendrent une augmentation de la trésorerie) et les charges décaissables (éléments qui génèrent une diminution de la trésorerie). </w:t>
      </w:r>
    </w:p>
    <w:p w:rsidR="00034611" w:rsidRPr="00034611" w:rsidRDefault="00034611" w:rsidP="000E104B">
      <w:pPr>
        <w:spacing w:after="0"/>
        <w:jc w:val="both"/>
        <w:rPr>
          <w:rFonts w:ascii="Comic Sans MS" w:hAnsi="Comic Sans MS"/>
          <w:sz w:val="20"/>
          <w:szCs w:val="20"/>
        </w:rPr>
      </w:pPr>
      <w:r w:rsidRPr="00034611">
        <w:rPr>
          <w:rFonts w:ascii="Comic Sans MS" w:hAnsi="Comic Sans MS"/>
          <w:sz w:val="20"/>
          <w:szCs w:val="20"/>
        </w:rPr>
        <w:t xml:space="preserve">Exemple. Une vente de marchandises constitue un produit encaissable, contrairement à une reprise sur dépréciation, qui est un produit calculé, sans impact sur la trésorerie de l’entreprise. Parallèlement, un achat de marchandises est </w:t>
      </w:r>
      <w:r w:rsidRPr="00034611">
        <w:rPr>
          <w:rFonts w:ascii="Comic Sans MS" w:hAnsi="Comic Sans MS"/>
          <w:sz w:val="20"/>
          <w:szCs w:val="20"/>
        </w:rPr>
        <w:lastRenderedPageBreak/>
        <w:t>une charge décaissée, par opposition à une dotation aux amortissements, qui représente une charge calculée, sans incidence sur la trésorerie de l’entreprise.</w:t>
      </w:r>
    </w:p>
    <w:p w:rsidR="00034611" w:rsidRPr="00034611" w:rsidRDefault="00034611" w:rsidP="000E104B">
      <w:pPr>
        <w:spacing w:after="0"/>
        <w:jc w:val="both"/>
        <w:rPr>
          <w:rFonts w:ascii="Comic Sans MS" w:hAnsi="Comic Sans MS"/>
          <w:bCs/>
          <w:sz w:val="20"/>
          <w:szCs w:val="20"/>
        </w:rPr>
      </w:pPr>
      <w:smartTag w:uri="urn:schemas-microsoft-com:office:smarttags" w:element="PersonName">
        <w:smartTagPr>
          <w:attr w:name="ProductID" w:val="la CAF"/>
        </w:smartTagPr>
        <w:r w:rsidRPr="00034611">
          <w:rPr>
            <w:rFonts w:ascii="Comic Sans MS" w:hAnsi="Comic Sans MS"/>
            <w:bCs/>
            <w:sz w:val="20"/>
            <w:szCs w:val="20"/>
          </w:rPr>
          <w:t>La CAF</w:t>
        </w:r>
      </w:smartTag>
      <w:r w:rsidRPr="00034611">
        <w:rPr>
          <w:rFonts w:ascii="Comic Sans MS" w:hAnsi="Comic Sans MS"/>
          <w:bCs/>
          <w:sz w:val="20"/>
          <w:szCs w:val="20"/>
        </w:rPr>
        <w:t xml:space="preserve"> peut se calculer par deux méthodes différentes.</w:t>
      </w:r>
    </w:p>
    <w:p w:rsidR="00034611" w:rsidRPr="00034611" w:rsidRDefault="00034611" w:rsidP="00034611">
      <w:pPr>
        <w:spacing w:after="0"/>
        <w:rPr>
          <w:rFonts w:ascii="Comic Sans MS" w:hAnsi="Comic Sans MS"/>
          <w:b/>
          <w:sz w:val="20"/>
          <w:szCs w:val="20"/>
        </w:rPr>
      </w:pPr>
      <w:r w:rsidRPr="00034611">
        <w:rPr>
          <w:rFonts w:ascii="Comic Sans MS" w:hAnsi="Comic Sans MS"/>
          <w:b/>
          <w:sz w:val="20"/>
          <w:szCs w:val="20"/>
        </w:rPr>
        <w:t xml:space="preserve">a) Le calcul de </w:t>
      </w:r>
      <w:smartTag w:uri="urn:schemas-microsoft-com:office:smarttags" w:element="PersonName">
        <w:smartTagPr>
          <w:attr w:name="ProductID" w:val="la CAF"/>
        </w:smartTagPr>
        <w:r w:rsidRPr="00034611">
          <w:rPr>
            <w:rFonts w:ascii="Comic Sans MS" w:hAnsi="Comic Sans MS"/>
            <w:b/>
            <w:sz w:val="20"/>
            <w:szCs w:val="20"/>
          </w:rPr>
          <w:t>la CAF</w:t>
        </w:r>
      </w:smartTag>
      <w:r w:rsidRPr="00034611">
        <w:rPr>
          <w:rFonts w:ascii="Comic Sans MS" w:hAnsi="Comic Sans MS"/>
          <w:b/>
          <w:sz w:val="20"/>
          <w:szCs w:val="20"/>
        </w:rPr>
        <w:t xml:space="preserve"> par l’EBE</w:t>
      </w:r>
    </w:p>
    <w:p w:rsidR="00034611" w:rsidRPr="00034611" w:rsidRDefault="00034611" w:rsidP="00034611">
      <w:pPr>
        <w:spacing w:after="0"/>
        <w:rPr>
          <w:rFonts w:ascii="Comic Sans MS" w:hAnsi="Comic Sans MS"/>
          <w:bCs/>
          <w:sz w:val="20"/>
          <w:szCs w:val="20"/>
        </w:rPr>
      </w:pPr>
      <w:r w:rsidRPr="00034611">
        <w:rPr>
          <w:rFonts w:ascii="Comic Sans MS" w:hAnsi="Comic Sans MS"/>
          <w:bCs/>
          <w:sz w:val="20"/>
          <w:szCs w:val="20"/>
        </w:rPr>
        <w:t xml:space="preserve">L’EBE est le dernier SIG qui ne comprend que des flux de fonds. Autrement dit, tous ses éléments constitutifs auront un impact sur la trésorerie. Il constitue donc un bon point de départ pour calculer </w:t>
      </w:r>
      <w:smartTag w:uri="urn:schemas-microsoft-com:office:smarttags" w:element="PersonName">
        <w:smartTagPr>
          <w:attr w:name="ProductID" w:val="la CAF. Il"/>
        </w:smartTagPr>
        <w:r w:rsidRPr="00034611">
          <w:rPr>
            <w:rFonts w:ascii="Comic Sans MS" w:hAnsi="Comic Sans MS"/>
            <w:bCs/>
            <w:sz w:val="20"/>
            <w:szCs w:val="20"/>
          </w:rPr>
          <w:t>la CAF. Il</w:t>
        </w:r>
      </w:smartTag>
      <w:r w:rsidRPr="00034611">
        <w:rPr>
          <w:rFonts w:ascii="Comic Sans MS" w:hAnsi="Comic Sans MS"/>
          <w:bCs/>
          <w:sz w:val="20"/>
          <w:szCs w:val="20"/>
        </w:rPr>
        <w:t xml:space="preserve"> suffira de compléter cette valeur par les autres produits encaissables et les autres charges décaissables. </w:t>
      </w:r>
    </w:p>
    <w:p w:rsidR="00034611" w:rsidRPr="00034611" w:rsidRDefault="000A0F9A" w:rsidP="00034611">
      <w:pPr>
        <w:spacing w:after="0"/>
        <w:rPr>
          <w:rFonts w:ascii="Comic Sans MS" w:hAnsi="Comic Sans MS"/>
          <w:b/>
          <w:bCs/>
          <w:sz w:val="20"/>
          <w:szCs w:val="20"/>
        </w:rPr>
      </w:pPr>
      <w:r>
        <w:rPr>
          <w:rFonts w:ascii="Comic Sans MS" w:hAnsi="Comic Sans MS"/>
          <w:b/>
          <w:bCs/>
          <w:sz w:val="20"/>
          <w:szCs w:val="20"/>
        </w:rPr>
        <w:t>CAF = EBE +</w:t>
      </w:r>
      <w:bookmarkStart w:id="0" w:name="_GoBack"/>
      <w:bookmarkEnd w:id="0"/>
      <w:r w:rsidR="00034611" w:rsidRPr="00034611">
        <w:rPr>
          <w:rFonts w:ascii="Comic Sans MS" w:hAnsi="Comic Sans MS"/>
          <w:b/>
          <w:bCs/>
          <w:sz w:val="20"/>
          <w:szCs w:val="20"/>
        </w:rPr>
        <w:t> Autres produits encaissables</w:t>
      </w:r>
      <w:r w:rsidR="00034611" w:rsidRPr="00034611">
        <w:rPr>
          <w:rFonts w:ascii="Comic Sans MS" w:hAnsi="Comic Sans MS"/>
          <w:b/>
          <w:bCs/>
          <w:sz w:val="20"/>
          <w:szCs w:val="20"/>
          <w:vertAlign w:val="superscript"/>
        </w:rPr>
        <w:t>1</w:t>
      </w:r>
      <w:r w:rsidR="00034611" w:rsidRPr="00034611">
        <w:rPr>
          <w:rFonts w:ascii="Comic Sans MS" w:hAnsi="Comic Sans MS"/>
          <w:b/>
          <w:bCs/>
          <w:sz w:val="20"/>
          <w:szCs w:val="20"/>
        </w:rPr>
        <w:t xml:space="preserve"> – Autres charges décaissables</w:t>
      </w:r>
      <w:r w:rsidR="00034611" w:rsidRPr="00034611">
        <w:rPr>
          <w:rFonts w:ascii="Comic Sans MS" w:hAnsi="Comic Sans MS"/>
          <w:b/>
          <w:bCs/>
          <w:sz w:val="20"/>
          <w:szCs w:val="20"/>
          <w:vertAlign w:val="superscript"/>
        </w:rPr>
        <w:t>2</w:t>
      </w:r>
    </w:p>
    <w:p w:rsidR="00034611" w:rsidRPr="00034611" w:rsidRDefault="00034611" w:rsidP="00034611">
      <w:pPr>
        <w:spacing w:after="0"/>
        <w:rPr>
          <w:rFonts w:ascii="Comic Sans MS" w:hAnsi="Comic Sans MS"/>
          <w:bCs/>
          <w:sz w:val="20"/>
          <w:szCs w:val="20"/>
        </w:rPr>
      </w:pPr>
      <w:r w:rsidRPr="00034611">
        <w:rPr>
          <w:rFonts w:ascii="Comic Sans MS" w:hAnsi="Comic Sans MS"/>
          <w:bCs/>
          <w:sz w:val="20"/>
          <w:szCs w:val="20"/>
        </w:rPr>
        <w:t>1. Autres produits d’exploitation + Produits financiers sauf reprises + Produits exceptionnels / op. de gestion)</w:t>
      </w:r>
    </w:p>
    <w:p w:rsidR="00034611" w:rsidRPr="00034611" w:rsidRDefault="00034611" w:rsidP="00034611">
      <w:pPr>
        <w:spacing w:after="0"/>
        <w:rPr>
          <w:rFonts w:ascii="Comic Sans MS" w:hAnsi="Comic Sans MS"/>
          <w:bCs/>
          <w:sz w:val="20"/>
          <w:szCs w:val="20"/>
        </w:rPr>
      </w:pPr>
      <w:r w:rsidRPr="00034611">
        <w:rPr>
          <w:rFonts w:ascii="Comic Sans MS" w:hAnsi="Comic Sans MS"/>
          <w:bCs/>
          <w:sz w:val="20"/>
          <w:szCs w:val="20"/>
        </w:rPr>
        <w:t>2. Autres charges d’exploitation + Charges financières sauf dotations + Charges exceptionnelles / op. de gestion + Impôt sur les bénéfices</w:t>
      </w:r>
    </w:p>
    <w:p w:rsidR="00034611" w:rsidRPr="00034611" w:rsidRDefault="00034611" w:rsidP="00034611">
      <w:pPr>
        <w:spacing w:after="0"/>
        <w:rPr>
          <w:rFonts w:ascii="Comic Sans MS" w:hAnsi="Comic Sans MS"/>
          <w:b/>
          <w:sz w:val="20"/>
          <w:szCs w:val="20"/>
        </w:rPr>
      </w:pPr>
      <w:r w:rsidRPr="00034611">
        <w:rPr>
          <w:rFonts w:ascii="Comic Sans MS" w:hAnsi="Comic Sans MS"/>
          <w:b/>
          <w:sz w:val="20"/>
          <w:szCs w:val="20"/>
        </w:rPr>
        <w:t xml:space="preserve">b) Le calcul de </w:t>
      </w:r>
      <w:smartTag w:uri="urn:schemas-microsoft-com:office:smarttags" w:element="PersonName">
        <w:smartTagPr>
          <w:attr w:name="ProductID" w:val="la CAF"/>
        </w:smartTagPr>
        <w:r w:rsidRPr="00034611">
          <w:rPr>
            <w:rFonts w:ascii="Comic Sans MS" w:hAnsi="Comic Sans MS"/>
            <w:b/>
            <w:sz w:val="20"/>
            <w:szCs w:val="20"/>
          </w:rPr>
          <w:t>la CAF</w:t>
        </w:r>
      </w:smartTag>
      <w:r w:rsidRPr="00034611">
        <w:rPr>
          <w:rFonts w:ascii="Comic Sans MS" w:hAnsi="Comic Sans MS"/>
          <w:b/>
          <w:sz w:val="20"/>
          <w:szCs w:val="20"/>
        </w:rPr>
        <w:t xml:space="preserve"> par le résultat</w:t>
      </w:r>
    </w:p>
    <w:p w:rsidR="00034611" w:rsidRPr="00034611" w:rsidRDefault="00034611" w:rsidP="00034611">
      <w:pPr>
        <w:spacing w:after="0"/>
        <w:rPr>
          <w:rFonts w:ascii="Comic Sans MS" w:hAnsi="Comic Sans MS"/>
          <w:bCs/>
          <w:i/>
          <w:sz w:val="20"/>
          <w:szCs w:val="20"/>
        </w:rPr>
      </w:pPr>
      <w:r w:rsidRPr="00034611">
        <w:rPr>
          <w:rFonts w:ascii="Comic Sans MS" w:hAnsi="Comic Sans MS"/>
          <w:bCs/>
          <w:sz w:val="20"/>
          <w:szCs w:val="20"/>
        </w:rPr>
        <w:t xml:space="preserve">Pour obtenir </w:t>
      </w:r>
      <w:smartTag w:uri="urn:schemas-microsoft-com:office:smarttags" w:element="PersonName">
        <w:smartTagPr>
          <w:attr w:name="ProductID" w:val="la CAF"/>
        </w:smartTagPr>
        <w:r w:rsidRPr="00034611">
          <w:rPr>
            <w:rFonts w:ascii="Comic Sans MS" w:hAnsi="Comic Sans MS"/>
            <w:bCs/>
            <w:sz w:val="20"/>
            <w:szCs w:val="20"/>
          </w:rPr>
          <w:t>la CAF</w:t>
        </w:r>
      </w:smartTag>
      <w:r w:rsidRPr="00034611">
        <w:rPr>
          <w:rFonts w:ascii="Comic Sans MS" w:hAnsi="Comic Sans MS"/>
          <w:bCs/>
          <w:sz w:val="20"/>
          <w:szCs w:val="20"/>
        </w:rPr>
        <w:t xml:space="preserve">, il faut corriger le résultat de l’exercice en supprimant tous ses éléments calculés, c’est-à-dire les charges et les produits qui n’ont aucun impact sur la trésorerie. Il s’agit alors de soustraire les produits calculés pour les éliminer car ils sont venus s’ajouter pour obtenir le résultat. À l’inverse, les charges calculées ont diminué le résultat, elles doivent donc être additionnées pour neutraliser leurs incidences. </w:t>
      </w:r>
    </w:p>
    <w:p w:rsidR="00034611" w:rsidRPr="00034611" w:rsidRDefault="00034611" w:rsidP="00034611">
      <w:pPr>
        <w:spacing w:after="0"/>
        <w:rPr>
          <w:rFonts w:ascii="Comic Sans MS" w:hAnsi="Comic Sans MS"/>
          <w:b/>
          <w:bCs/>
          <w:sz w:val="20"/>
          <w:szCs w:val="20"/>
        </w:rPr>
      </w:pPr>
      <w:r w:rsidRPr="00034611">
        <w:rPr>
          <w:rFonts w:ascii="Comic Sans MS" w:hAnsi="Comic Sans MS"/>
          <w:b/>
          <w:bCs/>
          <w:sz w:val="20"/>
          <w:szCs w:val="20"/>
        </w:rPr>
        <w:t>CAF = Résultat de l’exercice – Produits calculés</w:t>
      </w:r>
      <w:r w:rsidRPr="00034611">
        <w:rPr>
          <w:rFonts w:ascii="Comic Sans MS" w:hAnsi="Comic Sans MS"/>
          <w:b/>
          <w:bCs/>
          <w:sz w:val="20"/>
          <w:szCs w:val="20"/>
          <w:vertAlign w:val="superscript"/>
        </w:rPr>
        <w:t>1</w:t>
      </w:r>
      <w:r w:rsidRPr="00034611">
        <w:rPr>
          <w:rFonts w:ascii="Comic Sans MS" w:hAnsi="Comic Sans MS"/>
          <w:b/>
          <w:bCs/>
          <w:sz w:val="20"/>
          <w:szCs w:val="20"/>
        </w:rPr>
        <w:t xml:space="preserve"> + Charges calculées</w:t>
      </w:r>
      <w:r w:rsidRPr="00034611">
        <w:rPr>
          <w:rFonts w:ascii="Comic Sans MS" w:hAnsi="Comic Sans MS"/>
          <w:b/>
          <w:bCs/>
          <w:sz w:val="20"/>
          <w:szCs w:val="20"/>
          <w:vertAlign w:val="superscript"/>
        </w:rPr>
        <w:t>2</w:t>
      </w:r>
    </w:p>
    <w:p w:rsidR="00034611" w:rsidRPr="00034611" w:rsidRDefault="00034611" w:rsidP="00034611">
      <w:pPr>
        <w:spacing w:after="0"/>
        <w:rPr>
          <w:rFonts w:ascii="Comic Sans MS" w:hAnsi="Comic Sans MS"/>
          <w:bCs/>
          <w:sz w:val="20"/>
          <w:szCs w:val="20"/>
        </w:rPr>
      </w:pPr>
      <w:r w:rsidRPr="00034611">
        <w:rPr>
          <w:rFonts w:ascii="Comic Sans MS" w:hAnsi="Comic Sans MS"/>
          <w:bCs/>
          <w:sz w:val="20"/>
          <w:szCs w:val="20"/>
        </w:rPr>
        <w:t>1. Dotations aux amortissements, aux dépréciations et aux provisions + Valeur comptable des éléments d’actif cédés</w:t>
      </w:r>
    </w:p>
    <w:p w:rsidR="00034611" w:rsidRPr="00034611" w:rsidRDefault="00034611" w:rsidP="00034611">
      <w:pPr>
        <w:spacing w:after="0"/>
        <w:rPr>
          <w:rFonts w:ascii="Comic Sans MS" w:hAnsi="Comic Sans MS"/>
          <w:bCs/>
          <w:sz w:val="20"/>
          <w:szCs w:val="20"/>
        </w:rPr>
      </w:pPr>
      <w:r w:rsidRPr="00034611">
        <w:rPr>
          <w:rFonts w:ascii="Comic Sans MS" w:hAnsi="Comic Sans MS"/>
          <w:bCs/>
          <w:sz w:val="20"/>
          <w:szCs w:val="20"/>
        </w:rPr>
        <w:t>2. Reprises sur dépréciations et provisions + Produits de cessions d’éléments d’actif</w:t>
      </w:r>
    </w:p>
    <w:p w:rsidR="00034611" w:rsidRPr="00034611" w:rsidRDefault="00034611" w:rsidP="00034611">
      <w:pPr>
        <w:spacing w:after="0"/>
        <w:rPr>
          <w:rFonts w:ascii="Comic Sans MS" w:hAnsi="Comic Sans MS"/>
          <w:b/>
          <w:bCs/>
          <w:sz w:val="20"/>
          <w:szCs w:val="20"/>
          <w:u w:val="single"/>
        </w:rPr>
      </w:pPr>
      <w:r w:rsidRPr="00034611">
        <w:rPr>
          <w:rFonts w:ascii="Comic Sans MS" w:hAnsi="Comic Sans MS"/>
          <w:b/>
          <w:bCs/>
          <w:sz w:val="20"/>
          <w:szCs w:val="20"/>
          <w:u w:val="single"/>
        </w:rPr>
        <w:t>3</w:t>
      </w:r>
      <w:r w:rsidRPr="00034611">
        <w:rPr>
          <w:rFonts w:ascii="Comic Sans MS" w:hAnsi="Comic Sans MS"/>
          <w:b/>
          <w:bCs/>
          <w:sz w:val="20"/>
          <w:szCs w:val="20"/>
          <w:u w:val="single"/>
          <w:lang w:val="x-none"/>
        </w:rPr>
        <w:t xml:space="preserve">. </w:t>
      </w:r>
      <w:r w:rsidRPr="00034611">
        <w:rPr>
          <w:rFonts w:ascii="Comic Sans MS" w:hAnsi="Comic Sans MS"/>
          <w:b/>
          <w:bCs/>
          <w:sz w:val="20"/>
          <w:szCs w:val="20"/>
          <w:u w:val="single"/>
        </w:rPr>
        <w:t>Le calcul</w:t>
      </w:r>
      <w:r w:rsidRPr="00034611">
        <w:rPr>
          <w:rFonts w:ascii="Comic Sans MS" w:hAnsi="Comic Sans MS"/>
          <w:b/>
          <w:bCs/>
          <w:sz w:val="20"/>
          <w:szCs w:val="20"/>
          <w:u w:val="single"/>
          <w:lang w:val="x-none"/>
        </w:rPr>
        <w:t xml:space="preserve"> du résultat net comptable (RNC)</w:t>
      </w:r>
    </w:p>
    <w:p w:rsidR="00034611" w:rsidRPr="00034611" w:rsidRDefault="0063634C" w:rsidP="00034611">
      <w:pPr>
        <w:spacing w:after="0"/>
        <w:rPr>
          <w:rFonts w:ascii="Comic Sans MS" w:hAnsi="Comic Sans MS"/>
          <w:b/>
          <w:bCs/>
          <w:sz w:val="20"/>
          <w:szCs w:val="20"/>
        </w:rPr>
      </w:pPr>
      <w:r w:rsidRPr="00034611">
        <w:rPr>
          <w:rFonts w:ascii="Comic Sans MS" w:hAnsi="Comic Sans MS"/>
          <w:b/>
          <w:bCs/>
          <w:noProof/>
          <w:sz w:val="20"/>
          <w:szCs w:val="20"/>
          <w:lang w:eastAsia="fr-FR"/>
        </w:rPr>
        <mc:AlternateContent>
          <mc:Choice Requires="wps">
            <w:drawing>
              <wp:anchor distT="0" distB="0" distL="114300" distR="114300" simplePos="0" relativeHeight="251659264" behindDoc="0" locked="0" layoutInCell="1" allowOverlap="1">
                <wp:simplePos x="0" y="0"/>
                <wp:positionH relativeFrom="column">
                  <wp:posOffset>2342515</wp:posOffset>
                </wp:positionH>
                <wp:positionV relativeFrom="paragraph">
                  <wp:posOffset>-699770</wp:posOffset>
                </wp:positionV>
                <wp:extent cx="179705" cy="1943735"/>
                <wp:effectExtent l="8890" t="7620" r="9525" b="1270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79705" cy="1943735"/>
                        </a:xfrm>
                        <a:prstGeom prst="rightBrace">
                          <a:avLst>
                            <a:gd name="adj1" fmla="val 90135"/>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03864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 o:spid="_x0000_s1026" type="#_x0000_t88" style="position:absolute;margin-left:184.45pt;margin-top:-55.1pt;width:14.15pt;height:153.0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" strokecolor="red"/>
            </w:pict>
          </mc:Fallback>
        </mc:AlternateContent>
      </w:r>
      <w:r w:rsidR="00034611" w:rsidRPr="00034611">
        <w:rPr>
          <w:rFonts w:ascii="Comic Sans MS" w:hAnsi="Comic Sans MS"/>
          <w:b/>
          <w:bCs/>
          <w:sz w:val="20"/>
          <w:szCs w:val="20"/>
        </w:rPr>
        <w:t>RNC = RCAI + Résultat exceptionnel – IS (impôt sur les sociétés)</w:t>
      </w:r>
    </w:p>
    <w:p w:rsidR="00034611" w:rsidRPr="00034611" w:rsidRDefault="0063634C" w:rsidP="00034611">
      <w:pPr>
        <w:spacing w:after="0"/>
        <w:rPr>
          <w:rFonts w:ascii="Comic Sans MS" w:hAnsi="Comic Sans MS"/>
          <w:bCs/>
          <w:sz w:val="20"/>
          <w:szCs w:val="20"/>
        </w:rPr>
      </w:pPr>
      <w:r w:rsidRPr="00034611">
        <w:rPr>
          <w:rFonts w:ascii="Comic Sans MS" w:hAnsi="Comic Sans MS"/>
          <w:bCs/>
          <w:noProof/>
          <w:sz w:val="20"/>
          <w:szCs w:val="20"/>
          <w:lang w:eastAsia="fr-FR"/>
        </w:rPr>
        <mc:AlternateContent>
          <mc:Choice Requires="wps">
            <w:drawing>
              <wp:anchor distT="0" distB="0" distL="114300" distR="114300" simplePos="0" relativeHeight="251660288" behindDoc="0" locked="0" layoutInCell="1" allowOverlap="1">
                <wp:simplePos x="0" y="0"/>
                <wp:positionH relativeFrom="column">
                  <wp:posOffset>1420495</wp:posOffset>
                </wp:positionH>
                <wp:positionV relativeFrom="paragraph">
                  <wp:posOffset>84455</wp:posOffset>
                </wp:positionV>
                <wp:extent cx="2016125" cy="288290"/>
                <wp:effectExtent l="0" t="0" r="0" b="127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125"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611" w:rsidRPr="00574232" w:rsidRDefault="00034611" w:rsidP="00034611">
                            <w:pPr>
                              <w:spacing w:before="120" w:after="120"/>
                              <w:jc w:val="center"/>
                              <w:rPr>
                                <w:color w:val="FF0000"/>
                              </w:rPr>
                            </w:pPr>
                            <w:r>
                              <w:rPr>
                                <w:color w:val="FF0000"/>
                              </w:rPr>
                              <w:t xml:space="preserve">× 33,33 % = IS </w:t>
                            </w:r>
                          </w:p>
                        </w:txbxContent>
                      </wps:txbx>
                      <wps:bodyPr rot="0" vert="horz" wrap="square" lIns="91440" tIns="10800" rIns="91440" bIns="1080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11.85pt;margin-top:6.65pt;width:158.7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" filled="f" stroked="f">
                <v:textbox inset=",.3mm,,.3mm">
                  <w:txbxContent>
                    <w:p w:rsidR="00034611" w:rsidRPr="00574232" w:rsidRDefault="00034611" w:rsidP="00034611">
                      <w:pPr>
                        <w:spacing w:before="120" w:after="120"/>
                        <w:jc w:val="center"/>
                        <w:rPr>
                          <w:color w:val="FF0000"/>
                        </w:rPr>
                      </w:pPr>
                      <w:r>
                        <w:rPr>
                          <w:color w:val="FF0000"/>
                        </w:rPr>
                        <w:t xml:space="preserve">× 33,33 % = IS </w:t>
                      </w:r>
                    </w:p>
                  </w:txbxContent>
                </v:textbox>
              </v:shape>
            </w:pict>
          </mc:Fallback>
        </mc:AlternateContent>
      </w:r>
    </w:p>
    <w:p w:rsidR="00034611" w:rsidRPr="00034611" w:rsidRDefault="00034611" w:rsidP="00034611">
      <w:pPr>
        <w:spacing w:after="0"/>
        <w:rPr>
          <w:rFonts w:ascii="Comic Sans MS" w:hAnsi="Comic Sans MS"/>
          <w:bCs/>
          <w:sz w:val="20"/>
          <w:szCs w:val="20"/>
        </w:rPr>
      </w:pPr>
      <w:r w:rsidRPr="00034611">
        <w:rPr>
          <w:rFonts w:ascii="Comic Sans MS" w:hAnsi="Comic Sans MS"/>
          <w:bCs/>
          <w:sz w:val="20"/>
          <w:szCs w:val="20"/>
        </w:rPr>
        <w:t xml:space="preserve"> </w:t>
      </w:r>
    </w:p>
    <w:p w:rsidR="00034611" w:rsidRDefault="00034611" w:rsidP="00034611">
      <w:pPr>
        <w:spacing w:after="0"/>
        <w:rPr>
          <w:rFonts w:ascii="Comic Sans MS" w:hAnsi="Comic Sans MS"/>
          <w:bCs/>
          <w:sz w:val="20"/>
          <w:szCs w:val="20"/>
        </w:rPr>
      </w:pPr>
      <w:r w:rsidRPr="00034611">
        <w:rPr>
          <w:rFonts w:ascii="Comic Sans MS" w:hAnsi="Comic Sans MS"/>
          <w:bCs/>
          <w:sz w:val="20"/>
          <w:szCs w:val="20"/>
        </w:rPr>
        <w:t>On obtient le résultat exceptionnel en comparant les produits et les charges exceptionnels.</w:t>
      </w:r>
    </w:p>
    <w:p w:rsidR="00034611" w:rsidRDefault="00034611" w:rsidP="00034611">
      <w:pPr>
        <w:spacing w:after="0"/>
        <w:rPr>
          <w:rFonts w:ascii="Comic Sans MS" w:hAnsi="Comic Sans MS"/>
          <w:bCs/>
          <w:sz w:val="20"/>
          <w:szCs w:val="20"/>
        </w:rPr>
      </w:pPr>
    </w:p>
    <w:p w:rsidR="00034611" w:rsidRDefault="00034611" w:rsidP="00034611">
      <w:pPr>
        <w:spacing w:after="0"/>
        <w:rPr>
          <w:rFonts w:ascii="Comic Sans MS" w:hAnsi="Comic Sans MS"/>
          <w:bCs/>
          <w:sz w:val="20"/>
          <w:szCs w:val="20"/>
        </w:rPr>
      </w:pPr>
      <w:r>
        <w:rPr>
          <w:rFonts w:ascii="Comic Sans MS" w:hAnsi="Comic Sans MS"/>
          <w:bCs/>
          <w:sz w:val="20"/>
          <w:szCs w:val="20"/>
        </w:rPr>
        <w:t xml:space="preserve">Application : L’entreprise </w:t>
      </w:r>
      <w:proofErr w:type="spellStart"/>
      <w:r>
        <w:rPr>
          <w:rFonts w:ascii="Comic Sans MS" w:hAnsi="Comic Sans MS"/>
          <w:bCs/>
          <w:sz w:val="20"/>
          <w:szCs w:val="20"/>
        </w:rPr>
        <w:t>Fromy</w:t>
      </w:r>
      <w:proofErr w:type="spellEnd"/>
      <w:r>
        <w:rPr>
          <w:rFonts w:ascii="Comic Sans MS" w:hAnsi="Comic Sans MS"/>
          <w:bCs/>
          <w:sz w:val="20"/>
          <w:szCs w:val="20"/>
        </w:rPr>
        <w:t xml:space="preserve"> fabrique des meubles, vous disposez de son compte de résultat.</w:t>
      </w:r>
    </w:p>
    <w:p w:rsidR="00034611" w:rsidRDefault="000E104B" w:rsidP="000E104B">
      <w:pPr>
        <w:numPr>
          <w:ilvl w:val="0"/>
          <w:numId w:val="2"/>
        </w:numPr>
        <w:spacing w:after="0"/>
        <w:rPr>
          <w:rFonts w:ascii="Comic Sans MS" w:hAnsi="Comic Sans MS"/>
          <w:bCs/>
          <w:sz w:val="20"/>
          <w:szCs w:val="20"/>
        </w:rPr>
      </w:pPr>
      <w:r>
        <w:rPr>
          <w:rFonts w:ascii="Comic Sans MS" w:hAnsi="Comic Sans MS"/>
          <w:bCs/>
          <w:sz w:val="20"/>
          <w:szCs w:val="20"/>
        </w:rPr>
        <w:t>Quelle est la nature de son activité ?</w:t>
      </w:r>
    </w:p>
    <w:p w:rsidR="000E104B" w:rsidRDefault="000E104B" w:rsidP="000E104B">
      <w:pPr>
        <w:numPr>
          <w:ilvl w:val="0"/>
          <w:numId w:val="2"/>
        </w:numPr>
        <w:spacing w:after="0"/>
        <w:rPr>
          <w:rFonts w:ascii="Comic Sans MS" w:hAnsi="Comic Sans MS"/>
          <w:bCs/>
          <w:sz w:val="20"/>
          <w:szCs w:val="20"/>
        </w:rPr>
      </w:pPr>
      <w:r>
        <w:rPr>
          <w:rFonts w:ascii="Comic Sans MS" w:hAnsi="Comic Sans MS"/>
          <w:bCs/>
          <w:sz w:val="20"/>
          <w:szCs w:val="20"/>
        </w:rPr>
        <w:t>Quel est le montant de son chiffre d’affaires ?</w:t>
      </w:r>
    </w:p>
    <w:p w:rsidR="000E104B" w:rsidRDefault="000E104B" w:rsidP="000E104B">
      <w:pPr>
        <w:numPr>
          <w:ilvl w:val="0"/>
          <w:numId w:val="2"/>
        </w:numPr>
        <w:spacing w:after="0"/>
        <w:rPr>
          <w:rFonts w:ascii="Comic Sans MS" w:hAnsi="Comic Sans MS"/>
          <w:bCs/>
          <w:sz w:val="20"/>
          <w:szCs w:val="20"/>
        </w:rPr>
      </w:pPr>
      <w:r>
        <w:rPr>
          <w:rFonts w:ascii="Comic Sans MS" w:hAnsi="Comic Sans MS"/>
          <w:bCs/>
          <w:sz w:val="20"/>
          <w:szCs w:val="20"/>
        </w:rPr>
        <w:t>Quel est son taux de profitabilité ?</w:t>
      </w:r>
    </w:p>
    <w:p w:rsidR="000E104B" w:rsidRDefault="000E104B" w:rsidP="000E104B">
      <w:pPr>
        <w:numPr>
          <w:ilvl w:val="0"/>
          <w:numId w:val="2"/>
        </w:numPr>
        <w:spacing w:after="0"/>
        <w:rPr>
          <w:rFonts w:ascii="Comic Sans MS" w:hAnsi="Comic Sans MS"/>
          <w:bCs/>
          <w:sz w:val="20"/>
          <w:szCs w:val="20"/>
        </w:rPr>
      </w:pPr>
      <w:r>
        <w:rPr>
          <w:rFonts w:ascii="Comic Sans MS" w:hAnsi="Comic Sans MS"/>
          <w:bCs/>
          <w:sz w:val="20"/>
          <w:szCs w:val="20"/>
        </w:rPr>
        <w:t>Calculer son résultat d’exploitation, son résultat financier, son résultat exceptionnel.</w:t>
      </w:r>
    </w:p>
    <w:p w:rsidR="000E104B" w:rsidRDefault="0063634C" w:rsidP="000E104B">
      <w:pPr>
        <w:numPr>
          <w:ilvl w:val="0"/>
          <w:numId w:val="2"/>
        </w:numPr>
        <w:spacing w:after="0"/>
        <w:rPr>
          <w:rFonts w:ascii="Comic Sans MS" w:hAnsi="Comic Sans MS"/>
          <w:bCs/>
          <w:sz w:val="20"/>
          <w:szCs w:val="20"/>
        </w:rPr>
      </w:pPr>
      <w:r>
        <w:rPr>
          <w:rFonts w:ascii="Comic Sans MS" w:hAnsi="Comic Sans MS"/>
          <w:bCs/>
          <w:sz w:val="20"/>
          <w:szCs w:val="20"/>
        </w:rPr>
        <w:t>Compléter le tableau des SIG</w:t>
      </w:r>
    </w:p>
    <w:p w:rsidR="0063634C" w:rsidRDefault="0063634C" w:rsidP="000E104B">
      <w:pPr>
        <w:numPr>
          <w:ilvl w:val="0"/>
          <w:numId w:val="2"/>
        </w:numPr>
        <w:spacing w:after="0"/>
        <w:rPr>
          <w:rFonts w:ascii="Comic Sans MS" w:hAnsi="Comic Sans MS"/>
          <w:bCs/>
          <w:sz w:val="20"/>
          <w:szCs w:val="20"/>
        </w:rPr>
      </w:pPr>
      <w:r>
        <w:rPr>
          <w:rFonts w:ascii="Comic Sans MS" w:hAnsi="Comic Sans MS"/>
          <w:bCs/>
          <w:sz w:val="20"/>
          <w:szCs w:val="20"/>
        </w:rPr>
        <w:t>Calculer la CAF selon les deux méthodes</w:t>
      </w:r>
    </w:p>
    <w:p w:rsidR="0063634C" w:rsidRPr="00034611" w:rsidRDefault="0063634C" w:rsidP="000E104B">
      <w:pPr>
        <w:numPr>
          <w:ilvl w:val="0"/>
          <w:numId w:val="2"/>
        </w:numPr>
        <w:spacing w:after="0"/>
        <w:rPr>
          <w:rFonts w:ascii="Comic Sans MS" w:hAnsi="Comic Sans MS"/>
          <w:bCs/>
          <w:sz w:val="20"/>
          <w:szCs w:val="20"/>
        </w:rPr>
      </w:pPr>
      <w:r>
        <w:rPr>
          <w:rFonts w:ascii="Comic Sans MS" w:hAnsi="Comic Sans MS"/>
          <w:bCs/>
          <w:sz w:val="20"/>
          <w:szCs w:val="20"/>
        </w:rPr>
        <w:t>Les associés souhaitent se répartir 120 000 de dividendes, quel sera l’autofinancement dégagé par l’entreprise ?</w:t>
      </w:r>
    </w:p>
    <w:sectPr w:rsidR="0063634C" w:rsidRPr="00034611" w:rsidSect="001B5628">
      <w:headerReference w:type="default" r:id="rId7"/>
      <w:pgSz w:w="11906" w:h="16838"/>
      <w:pgMar w:top="624" w:right="624" w:bottom="624" w:left="62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0E4" w:rsidRDefault="007810E4" w:rsidP="00674905">
      <w:pPr>
        <w:spacing w:after="0" w:line="240" w:lineRule="auto"/>
      </w:pPr>
      <w:r>
        <w:separator/>
      </w:r>
    </w:p>
  </w:endnote>
  <w:endnote w:type="continuationSeparator" w:id="0">
    <w:p w:rsidR="007810E4" w:rsidRDefault="007810E4" w:rsidP="00674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0E4" w:rsidRDefault="007810E4" w:rsidP="00674905">
      <w:pPr>
        <w:spacing w:after="0" w:line="240" w:lineRule="auto"/>
      </w:pPr>
      <w:r>
        <w:separator/>
      </w:r>
    </w:p>
  </w:footnote>
  <w:footnote w:type="continuationSeparator" w:id="0">
    <w:p w:rsidR="007810E4" w:rsidRDefault="007810E4" w:rsidP="00674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905" w:rsidRDefault="00674905" w:rsidP="00674905">
    <w:pPr>
      <w:pStyle w:val="En-tte"/>
      <w:spacing w:after="0" w:line="240" w:lineRule="auto"/>
      <w:rPr>
        <w:rFonts w:ascii="Comic Sans MS" w:hAnsi="Comic Sans MS"/>
        <w:sz w:val="20"/>
        <w:szCs w:val="20"/>
      </w:rPr>
    </w:pPr>
    <w:r>
      <w:rPr>
        <w:rFonts w:ascii="Comic Sans MS" w:hAnsi="Comic Sans MS"/>
        <w:sz w:val="20"/>
        <w:szCs w:val="20"/>
      </w:rPr>
      <w:t>Comptabilité financière et de gestion</w:t>
    </w:r>
  </w:p>
  <w:p w:rsidR="00674905" w:rsidRPr="00674905" w:rsidRDefault="00674905">
    <w:pPr>
      <w:pStyle w:val="En-tte"/>
      <w:rPr>
        <w:rFonts w:ascii="Comic Sans MS" w:hAnsi="Comic Sans MS"/>
        <w:sz w:val="20"/>
        <w:szCs w:val="20"/>
      </w:rPr>
    </w:pPr>
    <w:r>
      <w:rPr>
        <w:rFonts w:ascii="Comic Sans MS" w:hAnsi="Comic Sans MS"/>
        <w:sz w:val="20"/>
        <w:szCs w:val="20"/>
      </w:rPr>
      <w:t>2</w:t>
    </w:r>
    <w:r w:rsidRPr="00674905">
      <w:rPr>
        <w:rFonts w:ascii="Comic Sans MS" w:hAnsi="Comic Sans MS"/>
        <w:sz w:val="20"/>
        <w:szCs w:val="20"/>
        <w:vertAlign w:val="superscript"/>
      </w:rPr>
      <w:t>ème</w:t>
    </w:r>
    <w:r>
      <w:rPr>
        <w:rFonts w:ascii="Comic Sans MS" w:hAnsi="Comic Sans MS"/>
        <w:sz w:val="20"/>
        <w:szCs w:val="20"/>
      </w:rPr>
      <w:t xml:space="preserve"> Partie : Qu’est-ce qu’une entreprise performante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3731CA"/>
    <w:multiLevelType w:val="hybridMultilevel"/>
    <w:tmpl w:val="65968B5C"/>
    <w:lvl w:ilvl="0" w:tplc="D3AC24BA">
      <w:start w:val="1"/>
      <w:numFmt w:val="decimal"/>
      <w:lvlText w:val="%1."/>
      <w:lvlJc w:val="left"/>
      <w:pPr>
        <w:ind w:left="720" w:hanging="360"/>
      </w:pPr>
      <w:rPr>
        <w:rFonts w:eastAsia="Times New Roman"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A204E2"/>
    <w:multiLevelType w:val="hybridMultilevel"/>
    <w:tmpl w:val="65968B5C"/>
    <w:lvl w:ilvl="0" w:tplc="D3AC24BA">
      <w:start w:val="1"/>
      <w:numFmt w:val="decimal"/>
      <w:lvlText w:val="%1."/>
      <w:lvlJc w:val="left"/>
      <w:pPr>
        <w:ind w:left="720" w:hanging="360"/>
      </w:pPr>
      <w:rPr>
        <w:rFonts w:eastAsia="Times New Roman"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905"/>
    <w:rsid w:val="00034611"/>
    <w:rsid w:val="000A0F9A"/>
    <w:rsid w:val="000E104B"/>
    <w:rsid w:val="001219A0"/>
    <w:rsid w:val="001B5628"/>
    <w:rsid w:val="0063634C"/>
    <w:rsid w:val="00674905"/>
    <w:rsid w:val="007810E4"/>
    <w:rsid w:val="008F1797"/>
    <w:rsid w:val="00BF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3179D1F6"/>
  <w15:chartTrackingRefBased/>
  <w15:docId w15:val="{DA90490F-9AF6-41A9-ADED-E7974380A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2"/>
      <w:szCs w:val="2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74905"/>
    <w:pPr>
      <w:tabs>
        <w:tab w:val="center" w:pos="4536"/>
        <w:tab w:val="right" w:pos="9072"/>
      </w:tabs>
    </w:pPr>
  </w:style>
  <w:style w:type="character" w:customStyle="1" w:styleId="En-tteCar">
    <w:name w:val="En-tête Car"/>
    <w:basedOn w:val="Policepardfaut"/>
    <w:link w:val="En-tte"/>
    <w:uiPriority w:val="99"/>
    <w:rsid w:val="00674905"/>
    <w:rPr>
      <w:sz w:val="22"/>
      <w:szCs w:val="22"/>
      <w:lang w:val="fr-FR"/>
    </w:rPr>
  </w:style>
  <w:style w:type="paragraph" w:styleId="Pieddepage">
    <w:name w:val="footer"/>
    <w:basedOn w:val="Normal"/>
    <w:link w:val="PieddepageCar"/>
    <w:uiPriority w:val="99"/>
    <w:unhideWhenUsed/>
    <w:rsid w:val="00674905"/>
    <w:pPr>
      <w:tabs>
        <w:tab w:val="center" w:pos="4536"/>
        <w:tab w:val="right" w:pos="9072"/>
      </w:tabs>
    </w:pPr>
  </w:style>
  <w:style w:type="character" w:customStyle="1" w:styleId="PieddepageCar">
    <w:name w:val="Pied de page Car"/>
    <w:basedOn w:val="Policepardfaut"/>
    <w:link w:val="Pieddepage"/>
    <w:uiPriority w:val="99"/>
    <w:rsid w:val="00674905"/>
    <w:rPr>
      <w:sz w:val="22"/>
      <w:szCs w:val="22"/>
      <w:lang w:val="fr-FR"/>
    </w:rPr>
  </w:style>
  <w:style w:type="paragraph" w:customStyle="1" w:styleId="Textecourant">
    <w:name w:val="Texte courant"/>
    <w:basedOn w:val="Normal"/>
    <w:link w:val="TextecourantCar"/>
    <w:qFormat/>
    <w:rsid w:val="00034611"/>
    <w:pPr>
      <w:spacing w:after="60" w:line="240" w:lineRule="auto"/>
      <w:jc w:val="both"/>
    </w:pPr>
    <w:rPr>
      <w:rFonts w:ascii="Times New Roman" w:eastAsia="Times New Roman" w:hAnsi="Times New Roman"/>
      <w:bCs/>
      <w:sz w:val="24"/>
      <w:szCs w:val="24"/>
      <w:lang w:eastAsia="ar-SA"/>
    </w:rPr>
  </w:style>
  <w:style w:type="character" w:customStyle="1" w:styleId="TextecourantCar">
    <w:name w:val="Texte courant Car"/>
    <w:basedOn w:val="Policepardfaut"/>
    <w:link w:val="Textecourant"/>
    <w:rsid w:val="00034611"/>
    <w:rPr>
      <w:rFonts w:ascii="Times New Roman" w:eastAsia="Times New Roman" w:hAnsi="Times New Roman"/>
      <w:bCs/>
      <w:sz w:val="24"/>
      <w:szCs w:val="24"/>
      <w:lang w:val="fr-FR" w:eastAsia="ar-SA"/>
    </w:rPr>
  </w:style>
  <w:style w:type="paragraph" w:customStyle="1" w:styleId="Titre3ter">
    <w:name w:val="Titre 3 ter"/>
    <w:qFormat/>
    <w:rsid w:val="00034611"/>
    <w:pPr>
      <w:spacing w:after="60"/>
    </w:pPr>
    <w:rPr>
      <w:rFonts w:ascii="Verdana" w:eastAsia="Times New Roman" w:hAnsi="Verdana"/>
      <w:b/>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23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thy\Documents\Mod&#232;les%20Office%20personnalis&#233;s\mod&#232;l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modèle</Template>
  <TotalTime>177</TotalTime>
  <Pages>2</Pages>
  <Words>952</Words>
  <Characters>5241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dc:creator>
  <cp:keywords/>
  <dc:description/>
  <cp:lastModifiedBy>Cathy Masini</cp:lastModifiedBy>
  <cp:revision>2</cp:revision>
  <dcterms:created xsi:type="dcterms:W3CDTF">2015-11-18T15:06:00Z</dcterms:created>
  <dcterms:modified xsi:type="dcterms:W3CDTF">2016-11-29T14:43:00Z</dcterms:modified>
</cp:coreProperties>
</file>