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B2346" w14:textId="77777777" w:rsidR="00EC6EDE" w:rsidRPr="00C13FB4" w:rsidRDefault="00EC6EDE" w:rsidP="00EC6EDE">
      <w:pPr>
        <w:pStyle w:val="titrerubrique"/>
        <w:spacing w:after="0"/>
        <w:ind w:left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Les Couleurs</w:t>
      </w:r>
    </w:p>
    <w:p w14:paraId="7BA4EB6C" w14:textId="77777777" w:rsidR="00EC6EDE" w:rsidRPr="00C13FB4" w:rsidRDefault="00EC6EDE" w:rsidP="00EC6EDE">
      <w:pPr>
        <w:pStyle w:val="Titre3"/>
        <w:spacing w:after="0"/>
        <w:rPr>
          <w:rFonts w:ascii="Comic Sans MS" w:hAnsi="Comic Sans MS"/>
          <w:sz w:val="20"/>
          <w:szCs w:val="20"/>
          <w:lang w:val="fr-FR"/>
        </w:rPr>
      </w:pPr>
      <w:r w:rsidRPr="00C13FB4">
        <w:rPr>
          <w:rFonts w:ascii="Comic Sans MS" w:hAnsi="Comic Sans MS"/>
          <w:sz w:val="20"/>
          <w:szCs w:val="20"/>
        </w:rPr>
        <w:t>Première partie</w:t>
      </w:r>
    </w:p>
    <w:p w14:paraId="00E89AE1" w14:textId="77777777" w:rsidR="00EC6EDE" w:rsidRPr="00C13FB4" w:rsidRDefault="00EC6EDE" w:rsidP="00EC6EDE">
      <w:pPr>
        <w:spacing w:before="120"/>
        <w:jc w:val="left"/>
        <w:rPr>
          <w:rFonts w:ascii="Comic Sans MS" w:hAnsi="Comic Sans MS"/>
          <w:b/>
          <w:sz w:val="20"/>
          <w:szCs w:val="20"/>
        </w:rPr>
      </w:pPr>
      <w:r w:rsidRPr="00C13FB4">
        <w:rPr>
          <w:rFonts w:ascii="Comic Sans MS" w:hAnsi="Comic Sans MS"/>
          <w:b/>
          <w:sz w:val="20"/>
          <w:szCs w:val="20"/>
        </w:rPr>
        <w:t>Vous avez collecté des données sur l’activité de l’entreprise (annexe 1).</w:t>
      </w:r>
    </w:p>
    <w:p w14:paraId="768A5AF7" w14:textId="77777777" w:rsidR="00EC6EDE" w:rsidRPr="00C13FB4" w:rsidRDefault="009C3C80" w:rsidP="009C3C80">
      <w:pPr>
        <w:pStyle w:val="Question"/>
        <w:numPr>
          <w:ilvl w:val="0"/>
          <w:numId w:val="0"/>
        </w:numPr>
        <w:spacing w:after="0"/>
        <w:ind w:left="714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1. </w:t>
      </w:r>
      <w:r w:rsidR="00EC6EDE" w:rsidRPr="00C13FB4">
        <w:rPr>
          <w:rFonts w:ascii="Comic Sans MS" w:hAnsi="Comic Sans MS"/>
          <w:sz w:val="20"/>
          <w:szCs w:val="20"/>
        </w:rPr>
        <w:t>En quoi consiste une analyse de la profitabilité de l’entreprise ?</w:t>
      </w:r>
    </w:p>
    <w:p w14:paraId="34D09C89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  <w:lang w:val="fr-FR"/>
        </w:rPr>
      </w:pPr>
      <w:r w:rsidRPr="00C13FB4">
        <w:rPr>
          <w:rFonts w:ascii="Comic Sans MS" w:hAnsi="Comic Sans MS"/>
          <w:sz w:val="20"/>
          <w:szCs w:val="20"/>
          <w:lang w:val="fr-FR"/>
        </w:rPr>
        <w:t xml:space="preserve">Une </w:t>
      </w:r>
      <w:r w:rsidRPr="00C13FB4">
        <w:rPr>
          <w:rFonts w:ascii="Comic Sans MS" w:hAnsi="Comic Sans MS"/>
          <w:sz w:val="20"/>
          <w:szCs w:val="20"/>
        </w:rPr>
        <w:t>analyse de la profitabilité consiste à étudier la façon dont le résultat comptable d’une année s’est constitué.</w:t>
      </w:r>
    </w:p>
    <w:p w14:paraId="4211FAE0" w14:textId="77777777" w:rsidR="00EC6EDE" w:rsidRPr="00C13FB4" w:rsidRDefault="009C3C80" w:rsidP="009C3C80">
      <w:pPr>
        <w:pStyle w:val="Question"/>
        <w:numPr>
          <w:ilvl w:val="0"/>
          <w:numId w:val="0"/>
        </w:numPr>
        <w:spacing w:after="0"/>
        <w:ind w:left="714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2. </w:t>
      </w:r>
      <w:r w:rsidR="00EC6EDE" w:rsidRPr="00C13FB4">
        <w:rPr>
          <w:rFonts w:ascii="Comic Sans MS" w:hAnsi="Comic Sans MS"/>
          <w:sz w:val="20"/>
          <w:szCs w:val="20"/>
        </w:rPr>
        <w:t>Pourquoi avez-vous collecté des informations depuis 3 ans ?</w:t>
      </w:r>
    </w:p>
    <w:p w14:paraId="46D24BAD" w14:textId="77777777" w:rsidR="00EC6EDE" w:rsidRPr="00C13FB4" w:rsidRDefault="00EC6EDE" w:rsidP="00EC6EDE">
      <w:pPr>
        <w:pStyle w:val="Rponse"/>
        <w:rPr>
          <w:rFonts w:ascii="Comic Sans MS" w:hAnsi="Comic Sans MS"/>
          <w:spacing w:val="-2"/>
          <w:sz w:val="20"/>
          <w:szCs w:val="20"/>
        </w:rPr>
      </w:pPr>
      <w:r w:rsidRPr="00C13FB4">
        <w:rPr>
          <w:rFonts w:ascii="Comic Sans MS" w:hAnsi="Comic Sans MS"/>
          <w:spacing w:val="-2"/>
          <w:sz w:val="20"/>
          <w:szCs w:val="20"/>
        </w:rPr>
        <w:t>Une collecte d’information</w:t>
      </w:r>
      <w:r w:rsidRPr="00C13FB4">
        <w:rPr>
          <w:rFonts w:ascii="Comic Sans MS" w:hAnsi="Comic Sans MS"/>
          <w:spacing w:val="-2"/>
          <w:sz w:val="20"/>
          <w:szCs w:val="20"/>
          <w:lang w:val="fr-FR"/>
        </w:rPr>
        <w:t>s</w:t>
      </w:r>
      <w:r w:rsidRPr="00C13FB4">
        <w:rPr>
          <w:rFonts w:ascii="Comic Sans MS" w:hAnsi="Comic Sans MS"/>
          <w:spacing w:val="-2"/>
          <w:sz w:val="20"/>
          <w:szCs w:val="20"/>
        </w:rPr>
        <w:t xml:space="preserve"> depuis 3 ans permet de comparer les éléments de l’entreprise dans le temps.</w:t>
      </w:r>
    </w:p>
    <w:p w14:paraId="0CADFFB2" w14:textId="77777777" w:rsidR="00EC6EDE" w:rsidRPr="00C13FB4" w:rsidRDefault="009C3C80" w:rsidP="009C3C80">
      <w:pPr>
        <w:pStyle w:val="Question"/>
        <w:numPr>
          <w:ilvl w:val="0"/>
          <w:numId w:val="0"/>
        </w:numPr>
        <w:spacing w:after="0"/>
        <w:ind w:left="714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3. </w:t>
      </w:r>
      <w:r w:rsidR="00EC6EDE" w:rsidRPr="00C13FB4">
        <w:rPr>
          <w:rFonts w:ascii="Comic Sans MS" w:hAnsi="Comic Sans MS"/>
          <w:sz w:val="20"/>
          <w:szCs w:val="20"/>
        </w:rPr>
        <w:t>Quels sont les indicateurs retenus dans votre support permettant d’analyser la profitabilité de l’entreprise ?</w:t>
      </w:r>
    </w:p>
    <w:p w14:paraId="0A370CF6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 xml:space="preserve">Le support de base est un </w:t>
      </w:r>
      <w:r w:rsidRPr="00C13FB4">
        <w:rPr>
          <w:rFonts w:ascii="Comic Sans MS" w:hAnsi="Comic Sans MS"/>
          <w:b/>
          <w:sz w:val="20"/>
          <w:szCs w:val="20"/>
        </w:rPr>
        <w:t>compte de résultat en liste</w:t>
      </w:r>
      <w:r w:rsidRPr="00C13FB4">
        <w:rPr>
          <w:rFonts w:ascii="Comic Sans MS" w:hAnsi="Comic Sans MS"/>
          <w:sz w:val="20"/>
          <w:szCs w:val="20"/>
        </w:rPr>
        <w:t>.</w:t>
      </w:r>
    </w:p>
    <w:p w14:paraId="7CF8DCCE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 xml:space="preserve">La présentation en liste permet de faire ressortir </w:t>
      </w:r>
      <w:r w:rsidRPr="00C13FB4">
        <w:rPr>
          <w:rFonts w:ascii="Comic Sans MS" w:hAnsi="Comic Sans MS"/>
          <w:sz w:val="20"/>
          <w:szCs w:val="20"/>
          <w:lang w:val="fr-FR"/>
        </w:rPr>
        <w:t>trois</w:t>
      </w:r>
      <w:r w:rsidRPr="00C13FB4">
        <w:rPr>
          <w:rFonts w:ascii="Comic Sans MS" w:hAnsi="Comic Sans MS"/>
          <w:sz w:val="20"/>
          <w:szCs w:val="20"/>
        </w:rPr>
        <w:t xml:space="preserve"> niveaux de résultat intermédiaires : le résultat </w:t>
      </w:r>
      <w:r w:rsidRPr="00C13FB4">
        <w:rPr>
          <w:rFonts w:ascii="Comic Sans MS" w:hAnsi="Comic Sans MS"/>
          <w:spacing w:val="-2"/>
          <w:sz w:val="20"/>
          <w:szCs w:val="20"/>
        </w:rPr>
        <w:t>d’exploitation, le résultat financier</w:t>
      </w:r>
      <w:r w:rsidRPr="00C13FB4">
        <w:rPr>
          <w:rFonts w:ascii="Comic Sans MS" w:hAnsi="Comic Sans MS"/>
          <w:spacing w:val="-2"/>
          <w:sz w:val="20"/>
          <w:szCs w:val="20"/>
          <w:lang w:val="fr-FR"/>
        </w:rPr>
        <w:t xml:space="preserve"> et</w:t>
      </w:r>
      <w:r w:rsidRPr="00C13FB4">
        <w:rPr>
          <w:rFonts w:ascii="Comic Sans MS" w:hAnsi="Comic Sans MS"/>
          <w:spacing w:val="-2"/>
          <w:sz w:val="20"/>
          <w:szCs w:val="20"/>
        </w:rPr>
        <w:t xml:space="preserve"> le résultat exceptionnel. On peut rapidement comparer l’évolution</w:t>
      </w:r>
      <w:r w:rsidRPr="00C13FB4">
        <w:rPr>
          <w:rFonts w:ascii="Comic Sans MS" w:hAnsi="Comic Sans MS"/>
          <w:sz w:val="20"/>
          <w:szCs w:val="20"/>
        </w:rPr>
        <w:t xml:space="preserve"> du bénéfice de l’entreprise avec celle de ces </w:t>
      </w:r>
      <w:r w:rsidRPr="00C13FB4">
        <w:rPr>
          <w:rFonts w:ascii="Comic Sans MS" w:hAnsi="Comic Sans MS"/>
          <w:sz w:val="20"/>
          <w:szCs w:val="20"/>
          <w:lang w:val="fr-FR"/>
        </w:rPr>
        <w:t>trois</w:t>
      </w:r>
      <w:r w:rsidRPr="00C13FB4">
        <w:rPr>
          <w:rFonts w:ascii="Comic Sans MS" w:hAnsi="Comic Sans MS"/>
          <w:sz w:val="20"/>
          <w:szCs w:val="20"/>
        </w:rPr>
        <w:t xml:space="preserve"> niveaux de résultat. </w:t>
      </w:r>
    </w:p>
    <w:p w14:paraId="723BC7D0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 xml:space="preserve">Par ailleurs, ce support présente </w:t>
      </w:r>
      <w:r w:rsidRPr="00C13FB4">
        <w:rPr>
          <w:rFonts w:ascii="Comic Sans MS" w:hAnsi="Comic Sans MS"/>
          <w:b/>
          <w:sz w:val="20"/>
          <w:szCs w:val="20"/>
          <w:lang w:val="fr-FR"/>
        </w:rPr>
        <w:t>trois</w:t>
      </w:r>
      <w:r w:rsidRPr="00C13FB4">
        <w:rPr>
          <w:rFonts w:ascii="Comic Sans MS" w:hAnsi="Comic Sans MS"/>
          <w:b/>
          <w:sz w:val="20"/>
          <w:szCs w:val="20"/>
        </w:rPr>
        <w:t xml:space="preserve"> années de résultat</w:t>
      </w:r>
      <w:r w:rsidRPr="00C13FB4">
        <w:rPr>
          <w:rFonts w:ascii="Comic Sans MS" w:hAnsi="Comic Sans MS"/>
          <w:sz w:val="20"/>
          <w:szCs w:val="20"/>
        </w:rPr>
        <w:t xml:space="preserve"> afin d’analyser l’évolution dans le temps de chaque poste en volume.</w:t>
      </w:r>
    </w:p>
    <w:p w14:paraId="7A6D75DD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 xml:space="preserve">Enfin, </w:t>
      </w:r>
      <w:r w:rsidRPr="00C13FB4">
        <w:rPr>
          <w:rFonts w:ascii="Comic Sans MS" w:hAnsi="Comic Sans MS"/>
          <w:sz w:val="20"/>
          <w:szCs w:val="20"/>
          <w:lang w:val="fr-FR"/>
        </w:rPr>
        <w:t>il</w:t>
      </w:r>
      <w:r w:rsidRPr="00C13FB4">
        <w:rPr>
          <w:rFonts w:ascii="Comic Sans MS" w:hAnsi="Comic Sans MS"/>
          <w:sz w:val="20"/>
          <w:szCs w:val="20"/>
        </w:rPr>
        <w:t xml:space="preserve"> présente une </w:t>
      </w:r>
      <w:r w:rsidRPr="00C13FB4">
        <w:rPr>
          <w:rFonts w:ascii="Comic Sans MS" w:hAnsi="Comic Sans MS"/>
          <w:b/>
          <w:sz w:val="20"/>
          <w:szCs w:val="20"/>
        </w:rPr>
        <w:t>analyse en pourcentage</w:t>
      </w:r>
      <w:r w:rsidRPr="00C13FB4">
        <w:rPr>
          <w:rFonts w:ascii="Comic Sans MS" w:hAnsi="Comic Sans MS"/>
          <w:b/>
          <w:sz w:val="20"/>
          <w:szCs w:val="20"/>
          <w:lang w:val="fr-FR"/>
        </w:rPr>
        <w:t>s</w:t>
      </w:r>
      <w:r w:rsidRPr="00C13FB4">
        <w:rPr>
          <w:rFonts w:ascii="Comic Sans MS" w:hAnsi="Comic Sans MS"/>
          <w:sz w:val="20"/>
          <w:szCs w:val="20"/>
        </w:rPr>
        <w:t> :</w:t>
      </w:r>
    </w:p>
    <w:p w14:paraId="544F9080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  <w:lang w:val="fr-FR"/>
        </w:rPr>
      </w:pPr>
      <w:r w:rsidRPr="00C13FB4">
        <w:rPr>
          <w:rFonts w:ascii="Comic Sans MS" w:hAnsi="Comic Sans MS"/>
          <w:sz w:val="20"/>
          <w:szCs w:val="20"/>
        </w:rPr>
        <w:t>– </w:t>
      </w:r>
      <w:r w:rsidRPr="00C13FB4">
        <w:rPr>
          <w:rFonts w:ascii="Comic Sans MS" w:hAnsi="Comic Sans MS"/>
          <w:sz w:val="20"/>
          <w:szCs w:val="20"/>
          <w:lang w:val="fr-FR"/>
        </w:rPr>
        <w:t>l</w:t>
      </w:r>
      <w:r w:rsidRPr="00C13FB4">
        <w:rPr>
          <w:rFonts w:ascii="Comic Sans MS" w:hAnsi="Comic Sans MS"/>
          <w:sz w:val="20"/>
          <w:szCs w:val="20"/>
        </w:rPr>
        <w:t>e pourcentage des différents niveaux de résultat sur le chiffre d’affaires de l’entreprise </w:t>
      </w:r>
      <w:r w:rsidRPr="00C13FB4">
        <w:rPr>
          <w:rFonts w:ascii="Comic Sans MS" w:hAnsi="Comic Sans MS"/>
          <w:sz w:val="20"/>
          <w:szCs w:val="20"/>
          <w:lang w:val="fr-FR"/>
        </w:rPr>
        <w:t>;</w:t>
      </w:r>
    </w:p>
    <w:p w14:paraId="0B676A07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>– </w:t>
      </w:r>
      <w:r w:rsidRPr="00C13FB4">
        <w:rPr>
          <w:rFonts w:ascii="Comic Sans MS" w:hAnsi="Comic Sans MS"/>
          <w:sz w:val="20"/>
          <w:szCs w:val="20"/>
          <w:lang w:val="fr-FR"/>
        </w:rPr>
        <w:t>l</w:t>
      </w:r>
      <w:r w:rsidRPr="00C13FB4">
        <w:rPr>
          <w:rFonts w:ascii="Comic Sans MS" w:hAnsi="Comic Sans MS"/>
          <w:sz w:val="20"/>
          <w:szCs w:val="20"/>
        </w:rPr>
        <w:t>e pourcentage d’évolution dans le temps : N par rapport à N-2, N par rapport à N-1.</w:t>
      </w:r>
    </w:p>
    <w:p w14:paraId="195B34C2" w14:textId="77777777" w:rsidR="00EC6EDE" w:rsidRPr="00C13FB4" w:rsidRDefault="009C3C80" w:rsidP="009C3C80">
      <w:pPr>
        <w:pStyle w:val="Question"/>
        <w:numPr>
          <w:ilvl w:val="0"/>
          <w:numId w:val="0"/>
        </w:numPr>
        <w:spacing w:after="0"/>
        <w:ind w:left="714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4. </w:t>
      </w:r>
      <w:r w:rsidR="00EC6EDE" w:rsidRPr="00C13FB4">
        <w:rPr>
          <w:rFonts w:ascii="Comic Sans MS" w:hAnsi="Comic Sans MS"/>
          <w:sz w:val="20"/>
          <w:szCs w:val="20"/>
        </w:rPr>
        <w:t>La stratégie mise en place par le responsable en N est visible sur ce document : repérez les postes de charges affectés par cette stratégie.</w:t>
      </w:r>
    </w:p>
    <w:p w14:paraId="5B03C261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>Le responsable de l’entreprise a basé sa stratégie d’amélioration de la performance de l’entreprise sur deux points :</w:t>
      </w:r>
    </w:p>
    <w:p w14:paraId="3A44DD27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  <w:lang w:val="fr-FR"/>
        </w:rPr>
      </w:pPr>
      <w:r w:rsidRPr="00C13FB4">
        <w:rPr>
          <w:rFonts w:ascii="Comic Sans MS" w:hAnsi="Comic Sans MS"/>
          <w:sz w:val="20"/>
          <w:szCs w:val="20"/>
          <w:lang w:val="fr-FR"/>
        </w:rPr>
        <w:t>•</w:t>
      </w:r>
      <w:r w:rsidRPr="00C13FB4">
        <w:rPr>
          <w:rFonts w:ascii="Comic Sans MS" w:hAnsi="Comic Sans MS"/>
          <w:sz w:val="20"/>
          <w:szCs w:val="20"/>
        </w:rPr>
        <w:t> </w:t>
      </w:r>
      <w:r w:rsidRPr="00C13FB4">
        <w:rPr>
          <w:rFonts w:ascii="Comic Sans MS" w:hAnsi="Comic Sans MS"/>
          <w:sz w:val="20"/>
          <w:szCs w:val="20"/>
          <w:lang w:val="fr-FR"/>
        </w:rPr>
        <w:t>l’</w:t>
      </w:r>
      <w:r w:rsidRPr="00C13FB4">
        <w:rPr>
          <w:rFonts w:ascii="Comic Sans MS" w:hAnsi="Comic Sans MS"/>
          <w:b/>
          <w:sz w:val="20"/>
          <w:szCs w:val="20"/>
        </w:rPr>
        <w:t>embauche d’un nouveau commercial</w:t>
      </w:r>
      <w:r w:rsidRPr="00C13FB4">
        <w:rPr>
          <w:rFonts w:ascii="Comic Sans MS" w:hAnsi="Comic Sans MS"/>
          <w:sz w:val="20"/>
          <w:szCs w:val="20"/>
        </w:rPr>
        <w:t xml:space="preserve"> : </w:t>
      </w:r>
      <w:r w:rsidRPr="00C13FB4">
        <w:rPr>
          <w:rFonts w:ascii="Comic Sans MS" w:hAnsi="Comic Sans MS"/>
          <w:sz w:val="20"/>
          <w:szCs w:val="20"/>
          <w:lang w:val="fr-FR"/>
        </w:rPr>
        <w:t>o</w:t>
      </w:r>
      <w:r w:rsidRPr="00C13FB4">
        <w:rPr>
          <w:rFonts w:ascii="Comic Sans MS" w:hAnsi="Comic Sans MS"/>
          <w:sz w:val="20"/>
          <w:szCs w:val="20"/>
        </w:rPr>
        <w:t xml:space="preserve">n peut voir que le poste </w:t>
      </w:r>
      <w:r w:rsidRPr="00C13FB4">
        <w:rPr>
          <w:rFonts w:ascii="Comic Sans MS" w:hAnsi="Comic Sans MS"/>
          <w:sz w:val="20"/>
          <w:szCs w:val="20"/>
          <w:lang w:val="fr-FR"/>
        </w:rPr>
        <w:t>« </w:t>
      </w:r>
      <w:r w:rsidRPr="00C13FB4">
        <w:rPr>
          <w:rFonts w:ascii="Comic Sans MS" w:hAnsi="Comic Sans MS"/>
          <w:sz w:val="20"/>
          <w:szCs w:val="20"/>
        </w:rPr>
        <w:t>Salaires</w:t>
      </w:r>
      <w:r w:rsidRPr="00C13FB4">
        <w:rPr>
          <w:rFonts w:ascii="Comic Sans MS" w:hAnsi="Comic Sans MS"/>
          <w:sz w:val="20"/>
          <w:szCs w:val="20"/>
          <w:lang w:val="fr-FR"/>
        </w:rPr>
        <w:t> »</w:t>
      </w:r>
      <w:r w:rsidRPr="00C13FB4">
        <w:rPr>
          <w:rFonts w:ascii="Comic Sans MS" w:hAnsi="Comic Sans MS"/>
          <w:sz w:val="20"/>
          <w:szCs w:val="20"/>
        </w:rPr>
        <w:t xml:space="preserve"> est passé de 167 047 € en N-1 à 188 211 € en N. Les charges sociales ont</w:t>
      </w:r>
      <w:r w:rsidRPr="00C13FB4">
        <w:rPr>
          <w:rFonts w:ascii="Comic Sans MS" w:hAnsi="Comic Sans MS"/>
          <w:sz w:val="20"/>
          <w:szCs w:val="20"/>
          <w:lang w:val="fr-FR"/>
        </w:rPr>
        <w:t xml:space="preserve">, </w:t>
      </w:r>
      <w:r w:rsidRPr="00C13FB4">
        <w:rPr>
          <w:rFonts w:ascii="Comic Sans MS" w:hAnsi="Comic Sans MS"/>
          <w:sz w:val="20"/>
          <w:szCs w:val="20"/>
        </w:rPr>
        <w:t>elles aussi</w:t>
      </w:r>
      <w:r w:rsidRPr="00C13FB4">
        <w:rPr>
          <w:rFonts w:ascii="Comic Sans MS" w:hAnsi="Comic Sans MS"/>
          <w:sz w:val="20"/>
          <w:szCs w:val="20"/>
          <w:lang w:val="fr-FR"/>
        </w:rPr>
        <w:t>,</w:t>
      </w:r>
      <w:r w:rsidRPr="00C13FB4">
        <w:rPr>
          <w:rFonts w:ascii="Comic Sans MS" w:hAnsi="Comic Sans MS"/>
          <w:sz w:val="20"/>
          <w:szCs w:val="20"/>
        </w:rPr>
        <w:t xml:space="preserve"> augmenté</w:t>
      </w:r>
      <w:r w:rsidRPr="00C13FB4">
        <w:rPr>
          <w:rFonts w:ascii="Comic Sans MS" w:hAnsi="Comic Sans MS"/>
          <w:sz w:val="20"/>
          <w:szCs w:val="20"/>
          <w:lang w:val="fr-FR"/>
        </w:rPr>
        <w:t>, passant de 64 403 € en N-1 à 71 321 € en N</w:t>
      </w:r>
      <w:r w:rsidRPr="00C13FB4">
        <w:rPr>
          <w:rFonts w:ascii="Comic Sans MS" w:hAnsi="Comic Sans MS"/>
          <w:sz w:val="20"/>
          <w:szCs w:val="20"/>
        </w:rPr>
        <w:t> </w:t>
      </w:r>
      <w:r w:rsidRPr="00C13FB4">
        <w:rPr>
          <w:rFonts w:ascii="Comic Sans MS" w:hAnsi="Comic Sans MS"/>
          <w:sz w:val="20"/>
          <w:szCs w:val="20"/>
          <w:lang w:val="fr-FR"/>
        </w:rPr>
        <w:t>;</w:t>
      </w:r>
    </w:p>
    <w:p w14:paraId="7EE4F9CE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  <w:lang w:val="fr-FR"/>
        </w:rPr>
      </w:pPr>
      <w:r w:rsidRPr="00C13FB4">
        <w:rPr>
          <w:rFonts w:ascii="Comic Sans MS" w:hAnsi="Comic Sans MS"/>
          <w:sz w:val="20"/>
          <w:szCs w:val="20"/>
          <w:lang w:val="fr-FR"/>
        </w:rPr>
        <w:t>•</w:t>
      </w:r>
      <w:r w:rsidRPr="00C13FB4">
        <w:rPr>
          <w:rFonts w:ascii="Comic Sans MS" w:hAnsi="Comic Sans MS"/>
          <w:sz w:val="20"/>
          <w:szCs w:val="20"/>
        </w:rPr>
        <w:t> </w:t>
      </w:r>
      <w:r w:rsidRPr="00C13FB4">
        <w:rPr>
          <w:rFonts w:ascii="Comic Sans MS" w:hAnsi="Comic Sans MS"/>
          <w:spacing w:val="-4"/>
          <w:sz w:val="20"/>
          <w:szCs w:val="20"/>
          <w:lang w:val="fr-FR"/>
        </w:rPr>
        <w:t xml:space="preserve">la </w:t>
      </w:r>
      <w:r w:rsidRPr="00C13FB4">
        <w:rPr>
          <w:rFonts w:ascii="Comic Sans MS" w:hAnsi="Comic Sans MS"/>
          <w:b/>
          <w:spacing w:val="-4"/>
          <w:sz w:val="20"/>
          <w:szCs w:val="20"/>
        </w:rPr>
        <w:t>renégociation des conditions d’achat auprès des fournisseurs</w:t>
      </w:r>
      <w:r w:rsidRPr="00C13FB4">
        <w:rPr>
          <w:rFonts w:ascii="Comic Sans MS" w:hAnsi="Comic Sans MS"/>
          <w:spacing w:val="-4"/>
          <w:sz w:val="20"/>
          <w:szCs w:val="20"/>
        </w:rPr>
        <w:t xml:space="preserve"> : </w:t>
      </w:r>
      <w:r w:rsidR="004670F4" w:rsidRPr="00C13FB4">
        <w:rPr>
          <w:rFonts w:ascii="Comic Sans MS" w:hAnsi="Comic Sans MS"/>
          <w:spacing w:val="-4"/>
          <w:sz w:val="20"/>
          <w:szCs w:val="20"/>
          <w:lang w:val="fr-FR"/>
        </w:rPr>
        <w:t>o</w:t>
      </w:r>
      <w:r w:rsidR="004670F4" w:rsidRPr="00C13FB4">
        <w:rPr>
          <w:rFonts w:ascii="Comic Sans MS" w:hAnsi="Comic Sans MS"/>
          <w:spacing w:val="-4"/>
          <w:sz w:val="20"/>
          <w:szCs w:val="20"/>
        </w:rPr>
        <w:t>n</w:t>
      </w:r>
      <w:r w:rsidRPr="00C13FB4">
        <w:rPr>
          <w:rFonts w:ascii="Comic Sans MS" w:hAnsi="Comic Sans MS"/>
          <w:spacing w:val="-4"/>
          <w:sz w:val="20"/>
          <w:szCs w:val="20"/>
        </w:rPr>
        <w:t xml:space="preserve"> peut voir que le coût d’achat des</w:t>
      </w:r>
      <w:r w:rsidRPr="00C13FB4">
        <w:rPr>
          <w:rFonts w:ascii="Comic Sans MS" w:hAnsi="Comic Sans MS"/>
          <w:sz w:val="20"/>
          <w:szCs w:val="20"/>
        </w:rPr>
        <w:t xml:space="preserve"> marchandises vendues (achat</w:t>
      </w:r>
      <w:r w:rsidRPr="00C13FB4">
        <w:rPr>
          <w:rFonts w:ascii="Comic Sans MS" w:hAnsi="Comic Sans MS"/>
          <w:sz w:val="20"/>
          <w:szCs w:val="20"/>
          <w:lang w:val="fr-FR"/>
        </w:rPr>
        <w:t>s</w:t>
      </w:r>
      <w:r w:rsidRPr="00C13FB4">
        <w:rPr>
          <w:rFonts w:ascii="Comic Sans MS" w:hAnsi="Comic Sans MS"/>
          <w:sz w:val="20"/>
          <w:szCs w:val="20"/>
        </w:rPr>
        <w:t xml:space="preserve"> de marchandises + variation de stocks) est passé de 477 914 € en N-1 à 494 456 € en N. Ce poste a donc augmenté en volume. Par contre</w:t>
      </w:r>
      <w:r w:rsidRPr="00C13FB4">
        <w:rPr>
          <w:rFonts w:ascii="Comic Sans MS" w:hAnsi="Comic Sans MS"/>
          <w:sz w:val="20"/>
          <w:szCs w:val="20"/>
          <w:lang w:val="fr-FR"/>
        </w:rPr>
        <w:t>,</w:t>
      </w:r>
      <w:r w:rsidRPr="00C13FB4">
        <w:rPr>
          <w:rFonts w:ascii="Comic Sans MS" w:hAnsi="Comic Sans MS"/>
          <w:sz w:val="20"/>
          <w:szCs w:val="20"/>
        </w:rPr>
        <w:t xml:space="preserve"> le CA a augmenté aussi. Il faut donc analyser l’évolution de ce poste en pourcentage du CA </w:t>
      </w:r>
      <w:r w:rsidRPr="00C13FB4">
        <w:rPr>
          <w:rFonts w:ascii="Comic Sans MS" w:hAnsi="Comic Sans MS"/>
          <w:sz w:val="20"/>
          <w:szCs w:val="20"/>
          <w:lang w:val="fr-FR"/>
        </w:rPr>
        <w:t>:</w:t>
      </w:r>
    </w:p>
    <w:p w14:paraId="31504F78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  <w:lang w:val="fr-FR"/>
        </w:rPr>
      </w:pPr>
      <w:r w:rsidRPr="00C13FB4">
        <w:rPr>
          <w:rFonts w:ascii="Comic Sans MS" w:hAnsi="Comic Sans MS"/>
          <w:sz w:val="20"/>
          <w:szCs w:val="20"/>
          <w:lang w:val="fr-FR"/>
        </w:rPr>
        <w:t>– e</w:t>
      </w:r>
      <w:r w:rsidRPr="00C13FB4">
        <w:rPr>
          <w:rFonts w:ascii="Comic Sans MS" w:hAnsi="Comic Sans MS"/>
          <w:sz w:val="20"/>
          <w:szCs w:val="20"/>
        </w:rPr>
        <w:t>n N-1, le coût d’achat des marchandises vendues représente 49 % du CA</w:t>
      </w:r>
      <w:r w:rsidRPr="00C13FB4">
        <w:rPr>
          <w:rFonts w:ascii="Comic Sans MS" w:hAnsi="Comic Sans MS"/>
          <w:sz w:val="20"/>
          <w:szCs w:val="20"/>
          <w:lang w:val="fr-FR"/>
        </w:rPr>
        <w:t>,</w:t>
      </w:r>
    </w:p>
    <w:p w14:paraId="71057D57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  <w:lang w:val="fr-FR"/>
        </w:rPr>
      </w:pPr>
      <w:r w:rsidRPr="00C13FB4">
        <w:rPr>
          <w:rFonts w:ascii="Comic Sans MS" w:hAnsi="Comic Sans MS"/>
          <w:sz w:val="20"/>
          <w:szCs w:val="20"/>
          <w:lang w:val="fr-FR"/>
        </w:rPr>
        <w:t>– e</w:t>
      </w:r>
      <w:r w:rsidRPr="00C13FB4">
        <w:rPr>
          <w:rFonts w:ascii="Comic Sans MS" w:hAnsi="Comic Sans MS"/>
          <w:sz w:val="20"/>
          <w:szCs w:val="20"/>
        </w:rPr>
        <w:t xml:space="preserve">n </w:t>
      </w:r>
      <w:r w:rsidRPr="00C13FB4">
        <w:rPr>
          <w:rFonts w:ascii="Comic Sans MS" w:hAnsi="Comic Sans MS"/>
          <w:sz w:val="20"/>
          <w:szCs w:val="20"/>
          <w:lang w:val="fr-FR"/>
        </w:rPr>
        <w:t>N</w:t>
      </w:r>
      <w:r w:rsidRPr="00C13FB4">
        <w:rPr>
          <w:rFonts w:ascii="Comic Sans MS" w:hAnsi="Comic Sans MS"/>
          <w:sz w:val="20"/>
          <w:szCs w:val="20"/>
        </w:rPr>
        <w:t xml:space="preserve">, </w:t>
      </w:r>
      <w:r w:rsidRPr="00C13FB4">
        <w:rPr>
          <w:rFonts w:ascii="Comic Sans MS" w:hAnsi="Comic Sans MS"/>
          <w:sz w:val="20"/>
          <w:szCs w:val="20"/>
          <w:lang w:val="fr-FR"/>
        </w:rPr>
        <w:t>il</w:t>
      </w:r>
      <w:r w:rsidRPr="00C13FB4">
        <w:rPr>
          <w:rFonts w:ascii="Comic Sans MS" w:hAnsi="Comic Sans MS"/>
          <w:sz w:val="20"/>
          <w:szCs w:val="20"/>
        </w:rPr>
        <w:t xml:space="preserve"> représente 45,4 %</w:t>
      </w:r>
      <w:r w:rsidRPr="00C13FB4">
        <w:rPr>
          <w:rFonts w:ascii="Comic Sans MS" w:hAnsi="Comic Sans MS"/>
          <w:sz w:val="20"/>
          <w:szCs w:val="20"/>
          <w:lang w:val="fr-FR"/>
        </w:rPr>
        <w:t>.</w:t>
      </w:r>
    </w:p>
    <w:p w14:paraId="7AA66F22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>On peut donc en conclure que le coût d’achat des marchandises</w:t>
      </w:r>
      <w:r w:rsidRPr="00C13FB4">
        <w:rPr>
          <w:rFonts w:ascii="Comic Sans MS" w:hAnsi="Comic Sans MS"/>
          <w:sz w:val="20"/>
          <w:szCs w:val="20"/>
          <w:lang w:val="fr-FR"/>
        </w:rPr>
        <w:t xml:space="preserve"> vendues</w:t>
      </w:r>
      <w:r w:rsidRPr="00C13FB4">
        <w:rPr>
          <w:rFonts w:ascii="Comic Sans MS" w:hAnsi="Comic Sans MS"/>
          <w:sz w:val="20"/>
          <w:szCs w:val="20"/>
        </w:rPr>
        <w:t xml:space="preserve"> a effectivement baissé.</w:t>
      </w:r>
    </w:p>
    <w:p w14:paraId="5E02675B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  <w:lang w:val="fr-FR"/>
        </w:rPr>
      </w:pPr>
    </w:p>
    <w:p w14:paraId="1D43FF94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>Par ailleurs, le poste « Autres achats et charges externes » représente aussi des consommations auprès des fournisseurs : il est passé de 127 172 € en N-1 à 108 846 € en N, soit une baisse de près de 15 %. Il peut s’agir d’économies réalisées (moins de publicité, moins de frais de transport…) ou</w:t>
      </w:r>
      <w:r w:rsidRPr="00C13FB4">
        <w:rPr>
          <w:rFonts w:ascii="Comic Sans MS" w:hAnsi="Comic Sans MS"/>
          <w:sz w:val="20"/>
          <w:szCs w:val="20"/>
          <w:lang w:val="fr-FR"/>
        </w:rPr>
        <w:t>,</w:t>
      </w:r>
      <w:r w:rsidRPr="00C13FB4">
        <w:rPr>
          <w:rFonts w:ascii="Comic Sans MS" w:hAnsi="Comic Sans MS"/>
          <w:sz w:val="20"/>
          <w:szCs w:val="20"/>
        </w:rPr>
        <w:t xml:space="preserve"> là encore</w:t>
      </w:r>
      <w:r w:rsidRPr="00C13FB4">
        <w:rPr>
          <w:rFonts w:ascii="Comic Sans MS" w:hAnsi="Comic Sans MS"/>
          <w:sz w:val="20"/>
          <w:szCs w:val="20"/>
          <w:lang w:val="fr-FR"/>
        </w:rPr>
        <w:t>,</w:t>
      </w:r>
      <w:r w:rsidRPr="00C13FB4">
        <w:rPr>
          <w:rFonts w:ascii="Comic Sans MS" w:hAnsi="Comic Sans MS"/>
          <w:sz w:val="20"/>
          <w:szCs w:val="20"/>
        </w:rPr>
        <w:t xml:space="preserve"> de renégociations de conditions d’achat.</w:t>
      </w:r>
    </w:p>
    <w:p w14:paraId="54B08B5C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  <w:lang w:val="fr-FR"/>
        </w:rPr>
      </w:pPr>
    </w:p>
    <w:p w14:paraId="13DF23EA" w14:textId="77777777" w:rsidR="00EC6EDE" w:rsidRPr="00C13FB4" w:rsidRDefault="00EC6EDE" w:rsidP="00EC6EDE">
      <w:pPr>
        <w:pStyle w:val="Rponse"/>
        <w:rPr>
          <w:rFonts w:ascii="Comic Sans MS" w:hAnsi="Comic Sans MS"/>
          <w:spacing w:val="-2"/>
          <w:sz w:val="20"/>
          <w:szCs w:val="20"/>
        </w:rPr>
      </w:pPr>
      <w:r w:rsidRPr="00C13FB4">
        <w:rPr>
          <w:rFonts w:ascii="Comic Sans MS" w:hAnsi="Comic Sans MS"/>
          <w:spacing w:val="-2"/>
          <w:sz w:val="20"/>
          <w:szCs w:val="20"/>
        </w:rPr>
        <w:t>La stratégie mise en œuvre par M.</w:t>
      </w:r>
      <w:r w:rsidRPr="00C13FB4">
        <w:rPr>
          <w:rFonts w:ascii="Comic Sans MS" w:hAnsi="Comic Sans MS"/>
          <w:spacing w:val="-2"/>
          <w:sz w:val="20"/>
          <w:szCs w:val="20"/>
          <w:lang w:val="fr-FR"/>
        </w:rPr>
        <w:t> </w:t>
      </w:r>
      <w:r w:rsidR="004670F4" w:rsidRPr="00C13FB4">
        <w:rPr>
          <w:rFonts w:ascii="Comic Sans MS" w:hAnsi="Comic Sans MS"/>
          <w:spacing w:val="-2"/>
          <w:sz w:val="20"/>
          <w:szCs w:val="20"/>
        </w:rPr>
        <w:t>Drygalski</w:t>
      </w:r>
      <w:r w:rsidRPr="00C13FB4">
        <w:rPr>
          <w:rFonts w:ascii="Comic Sans MS" w:hAnsi="Comic Sans MS"/>
          <w:spacing w:val="-2"/>
          <w:sz w:val="20"/>
          <w:szCs w:val="20"/>
        </w:rPr>
        <w:t xml:space="preserve"> est donc effectivement visible dans ce compte de résultat.</w:t>
      </w:r>
    </w:p>
    <w:p w14:paraId="7271732A" w14:textId="77777777" w:rsidR="00EC6EDE" w:rsidRPr="00C13FB4" w:rsidRDefault="00EC6EDE" w:rsidP="00EC6EDE">
      <w:pPr>
        <w:spacing w:before="120"/>
        <w:jc w:val="left"/>
        <w:rPr>
          <w:rFonts w:ascii="Comic Sans MS" w:hAnsi="Comic Sans MS"/>
          <w:b/>
          <w:sz w:val="20"/>
          <w:szCs w:val="20"/>
        </w:rPr>
      </w:pPr>
      <w:r w:rsidRPr="00C13FB4">
        <w:rPr>
          <w:rFonts w:ascii="Comic Sans MS" w:hAnsi="Comic Sans MS"/>
          <w:b/>
          <w:sz w:val="20"/>
          <w:szCs w:val="20"/>
        </w:rPr>
        <w:br w:type="page"/>
      </w:r>
      <w:r w:rsidRPr="00C13FB4">
        <w:rPr>
          <w:rFonts w:ascii="Comic Sans MS" w:hAnsi="Comic Sans MS"/>
          <w:b/>
          <w:sz w:val="20"/>
          <w:szCs w:val="20"/>
        </w:rPr>
        <w:lastRenderedPageBreak/>
        <w:t>Complétez votre analyse avec quelques indicateurs supplémentaires.</w:t>
      </w:r>
    </w:p>
    <w:p w14:paraId="055C0414" w14:textId="77777777" w:rsidR="00EC6EDE" w:rsidRPr="00C13FB4" w:rsidRDefault="009C3C80" w:rsidP="009C3C80">
      <w:pPr>
        <w:pStyle w:val="Question"/>
        <w:numPr>
          <w:ilvl w:val="0"/>
          <w:numId w:val="0"/>
        </w:numPr>
        <w:spacing w:after="0"/>
        <w:ind w:left="714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5. </w:t>
      </w:r>
      <w:r w:rsidR="00EC6EDE" w:rsidRPr="00C13FB4">
        <w:rPr>
          <w:rFonts w:ascii="Comic Sans MS" w:hAnsi="Comic Sans MS"/>
          <w:sz w:val="20"/>
          <w:szCs w:val="20"/>
        </w:rPr>
        <w:t>Calculez quelques soldes intermédiaires : complétez l’annexe 2.</w:t>
      </w:r>
    </w:p>
    <w:tbl>
      <w:tblPr>
        <w:tblW w:w="7520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060"/>
        <w:gridCol w:w="1365"/>
        <w:gridCol w:w="1365"/>
        <w:gridCol w:w="1365"/>
        <w:gridCol w:w="1365"/>
      </w:tblGrid>
      <w:tr w:rsidR="00EC6EDE" w:rsidRPr="00C13FB4" w14:paraId="3057A464" w14:textId="77777777" w:rsidTr="005C6AD5">
        <w:trPr>
          <w:trHeight w:val="40"/>
          <w:jc w:val="center"/>
        </w:trPr>
        <w:tc>
          <w:tcPr>
            <w:tcW w:w="20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6152372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 </w:t>
            </w:r>
          </w:p>
        </w:tc>
        <w:tc>
          <w:tcPr>
            <w:tcW w:w="4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9E62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sz w:val="20"/>
                <w:szCs w:val="20"/>
              </w:rPr>
              <w:t>LES COULEURS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20ADE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sz w:val="20"/>
                <w:szCs w:val="20"/>
              </w:rPr>
              <w:t>SECTEUR</w:t>
            </w:r>
          </w:p>
        </w:tc>
      </w:tr>
      <w:tr w:rsidR="00EC6EDE" w:rsidRPr="00C13FB4" w14:paraId="0255EA89" w14:textId="77777777" w:rsidTr="005C6AD5">
        <w:trPr>
          <w:trHeight w:val="40"/>
          <w:jc w:val="center"/>
        </w:trPr>
        <w:tc>
          <w:tcPr>
            <w:tcW w:w="20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A5D95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DB06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sz w:val="20"/>
                <w:szCs w:val="20"/>
              </w:rPr>
              <w:t>N-2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2A02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sz w:val="20"/>
                <w:szCs w:val="20"/>
              </w:rPr>
              <w:t>N-1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4460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F2D1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sz w:val="20"/>
                <w:szCs w:val="20"/>
              </w:rPr>
              <w:t>N</w:t>
            </w:r>
          </w:p>
        </w:tc>
      </w:tr>
      <w:tr w:rsidR="00EC6EDE" w:rsidRPr="00C13FB4" w14:paraId="617D7D83" w14:textId="77777777" w:rsidTr="005C6AD5">
        <w:trPr>
          <w:trHeight w:val="4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133C7F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Marge commerciale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ACDB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571 830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1A6F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497 686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FC1A" w14:textId="54230DAD" w:rsidR="00EC6EDE" w:rsidRPr="009222B9" w:rsidRDefault="00EC6EDE" w:rsidP="005C6AD5">
            <w:pPr>
              <w:jc w:val="center"/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</w:pPr>
            <w:r w:rsidRPr="009222B9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595 012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63AE0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 </w:t>
            </w:r>
          </w:p>
        </w:tc>
      </w:tr>
      <w:tr w:rsidR="00EC6EDE" w:rsidRPr="00C13FB4" w14:paraId="74B6F33B" w14:textId="77777777" w:rsidTr="005C6AD5">
        <w:trPr>
          <w:trHeight w:val="40"/>
          <w:jc w:val="center"/>
        </w:trPr>
        <w:tc>
          <w:tcPr>
            <w:tcW w:w="2060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4F823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 xml:space="preserve">% </w:t>
            </w:r>
            <w:r w:rsidR="00151D64" w:rsidRPr="00151D64">
              <w:rPr>
                <w:rFonts w:ascii="Comic Sans MS" w:hAnsi="Comic Sans MS" w:cs="Arial"/>
                <w:b/>
                <w:color w:val="FF0000"/>
                <w:sz w:val="20"/>
                <w:szCs w:val="20"/>
              </w:rPr>
              <w:t>MC</w:t>
            </w:r>
            <w:r w:rsidRPr="00C13FB4">
              <w:rPr>
                <w:rFonts w:ascii="Comic Sans MS" w:hAnsi="Comic Sans MS" w:cs="Arial"/>
                <w:sz w:val="20"/>
                <w:szCs w:val="20"/>
              </w:rPr>
              <w:t xml:space="preserve"> / CA</w:t>
            </w: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1F9F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50,9 %</w:t>
            </w: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E67D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51,0 %</w:t>
            </w: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0714" w14:textId="77777777" w:rsidR="00EC6EDE" w:rsidRPr="009222B9" w:rsidRDefault="00EC6EDE" w:rsidP="005C6AD5">
            <w:pPr>
              <w:jc w:val="center"/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</w:pPr>
            <w:r w:rsidRPr="009222B9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54,6 %</w:t>
            </w:r>
          </w:p>
        </w:tc>
        <w:tc>
          <w:tcPr>
            <w:tcW w:w="1365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508C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52,0 %</w:t>
            </w:r>
          </w:p>
        </w:tc>
      </w:tr>
      <w:tr w:rsidR="00EC6EDE" w:rsidRPr="00C13FB4" w14:paraId="354085F8" w14:textId="77777777" w:rsidTr="005C6AD5">
        <w:trPr>
          <w:trHeight w:val="4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99E1FB0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EBE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6327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172 541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9C32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128 898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F984" w14:textId="77777777" w:rsidR="00EC6EDE" w:rsidRPr="009222B9" w:rsidRDefault="00EC6EDE" w:rsidP="005C6AD5">
            <w:pPr>
              <w:jc w:val="center"/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</w:pPr>
            <w:r w:rsidRPr="009222B9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210 691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FE25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 </w:t>
            </w:r>
          </w:p>
        </w:tc>
      </w:tr>
      <w:tr w:rsidR="00EC6EDE" w:rsidRPr="00C13FB4" w14:paraId="5858755B" w14:textId="77777777" w:rsidTr="005C6AD5">
        <w:trPr>
          <w:trHeight w:val="40"/>
          <w:jc w:val="center"/>
        </w:trPr>
        <w:tc>
          <w:tcPr>
            <w:tcW w:w="2060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03B3C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% EBE / CA</w:t>
            </w: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32DC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15,3 %</w:t>
            </w: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CF08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13,2 %</w:t>
            </w: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26B9" w14:textId="77777777" w:rsidR="00EC6EDE" w:rsidRPr="009222B9" w:rsidRDefault="00EC6EDE" w:rsidP="005C6AD5">
            <w:pPr>
              <w:jc w:val="center"/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</w:pPr>
            <w:r w:rsidRPr="009222B9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19,3 %</w:t>
            </w:r>
          </w:p>
        </w:tc>
        <w:tc>
          <w:tcPr>
            <w:tcW w:w="1365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3F42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15,2 %</w:t>
            </w:r>
          </w:p>
        </w:tc>
      </w:tr>
      <w:tr w:rsidR="00EC6EDE" w:rsidRPr="00C13FB4" w14:paraId="0CB63339" w14:textId="77777777" w:rsidTr="005C6AD5">
        <w:trPr>
          <w:trHeight w:val="4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9B0E9B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3563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161 061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F214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117 303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BE4E" w14:textId="77777777" w:rsidR="00EC6EDE" w:rsidRPr="009222B9" w:rsidRDefault="00EC6EDE" w:rsidP="005C6AD5">
            <w:pPr>
              <w:jc w:val="center"/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</w:pPr>
            <w:r w:rsidRPr="009222B9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206 583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BCC3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 </w:t>
            </w:r>
          </w:p>
        </w:tc>
      </w:tr>
      <w:tr w:rsidR="00EC6EDE" w:rsidRPr="00C13FB4" w14:paraId="13F24DA8" w14:textId="77777777" w:rsidTr="005C6AD5">
        <w:trPr>
          <w:trHeight w:val="40"/>
          <w:jc w:val="center"/>
        </w:trPr>
        <w:tc>
          <w:tcPr>
            <w:tcW w:w="2060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7D5E4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% RE / CA</w:t>
            </w: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0E9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14,3 %</w:t>
            </w: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4F65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12,0 %</w:t>
            </w: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AABC" w14:textId="77777777" w:rsidR="00EC6EDE" w:rsidRPr="009222B9" w:rsidRDefault="00EC6EDE" w:rsidP="005C6AD5">
            <w:pPr>
              <w:jc w:val="center"/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</w:pPr>
            <w:r w:rsidRPr="009222B9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19,0 %</w:t>
            </w:r>
          </w:p>
        </w:tc>
        <w:tc>
          <w:tcPr>
            <w:tcW w:w="1365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CE5C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7,8 %</w:t>
            </w:r>
          </w:p>
        </w:tc>
      </w:tr>
      <w:tr w:rsidR="00EC6EDE" w:rsidRPr="00C13FB4" w14:paraId="33A975E5" w14:textId="77777777" w:rsidTr="005C6AD5">
        <w:trPr>
          <w:trHeight w:val="4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199DC47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RNC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7D1E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135 242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9BE6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85 534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A2A3" w14:textId="77777777" w:rsidR="00EC6EDE" w:rsidRPr="009222B9" w:rsidRDefault="00EC6EDE" w:rsidP="005C6AD5">
            <w:pPr>
              <w:jc w:val="center"/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</w:pPr>
            <w:r w:rsidRPr="009222B9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170 778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507C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 </w:t>
            </w:r>
          </w:p>
        </w:tc>
      </w:tr>
      <w:tr w:rsidR="00EC6EDE" w:rsidRPr="00C13FB4" w14:paraId="0CB0A9D4" w14:textId="77777777" w:rsidTr="005C6AD5">
        <w:trPr>
          <w:trHeight w:val="40"/>
          <w:jc w:val="center"/>
        </w:trPr>
        <w:tc>
          <w:tcPr>
            <w:tcW w:w="2060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CABA9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% RNC / CA</w:t>
            </w: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2139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12,0 %</w:t>
            </w: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75B3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8,8 %</w:t>
            </w:r>
          </w:p>
        </w:tc>
        <w:tc>
          <w:tcPr>
            <w:tcW w:w="1365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46BD" w14:textId="77777777" w:rsidR="00EC6EDE" w:rsidRPr="009222B9" w:rsidRDefault="00EC6EDE" w:rsidP="005C6AD5">
            <w:pPr>
              <w:jc w:val="center"/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</w:pPr>
            <w:r w:rsidRPr="009222B9">
              <w:rPr>
                <w:rFonts w:ascii="Comic Sans MS" w:hAnsi="Comic Sans MS" w:cs="Arial"/>
                <w:color w:val="000000" w:themeColor="text1"/>
                <w:sz w:val="20"/>
                <w:szCs w:val="20"/>
              </w:rPr>
              <w:t>15,7 %</w:t>
            </w:r>
          </w:p>
        </w:tc>
        <w:tc>
          <w:tcPr>
            <w:tcW w:w="1365" w:type="dxa"/>
            <w:tcBorders>
              <w:top w:val="single" w:sz="4" w:space="0" w:color="BFBFBF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C476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10,5 %</w:t>
            </w:r>
          </w:p>
        </w:tc>
      </w:tr>
    </w:tbl>
    <w:p w14:paraId="3A0F0BEA" w14:textId="77777777" w:rsidR="00EA0F98" w:rsidRDefault="00EA0F98" w:rsidP="004670F4">
      <w:pPr>
        <w:pStyle w:val="Question"/>
        <w:numPr>
          <w:ilvl w:val="0"/>
          <w:numId w:val="0"/>
        </w:numPr>
        <w:spacing w:after="0"/>
        <w:ind w:left="714"/>
        <w:rPr>
          <w:rFonts w:ascii="Comic Sans MS" w:hAnsi="Comic Sans MS"/>
          <w:sz w:val="20"/>
          <w:szCs w:val="20"/>
        </w:rPr>
      </w:pPr>
    </w:p>
    <w:p w14:paraId="7CA4EDFE" w14:textId="77777777" w:rsidR="00EA0F98" w:rsidRDefault="00EA0F98">
      <w:pPr>
        <w:spacing w:after="160" w:line="259" w:lineRule="auto"/>
        <w:jc w:val="left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br w:type="page"/>
      </w:r>
    </w:p>
    <w:p w14:paraId="706FDE03" w14:textId="6E48DF21" w:rsidR="00EC6EDE" w:rsidRPr="00C13FB4" w:rsidRDefault="004670F4" w:rsidP="004670F4">
      <w:pPr>
        <w:pStyle w:val="Question"/>
        <w:numPr>
          <w:ilvl w:val="0"/>
          <w:numId w:val="0"/>
        </w:numPr>
        <w:spacing w:after="0"/>
        <w:ind w:left="714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6. </w:t>
      </w:r>
      <w:r w:rsidR="00EC6EDE" w:rsidRPr="00C13FB4">
        <w:rPr>
          <w:rFonts w:ascii="Comic Sans MS" w:hAnsi="Comic Sans MS"/>
          <w:sz w:val="20"/>
          <w:szCs w:val="20"/>
        </w:rPr>
        <w:t>Les charges de personnel supplémentaires liées à l’embauche d’un nouveau commercial ont-elles affecté le résultat comptable de l’entreprise en N ? Justifiez.</w:t>
      </w:r>
    </w:p>
    <w:p w14:paraId="0EA51B8B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  <w:lang w:val="fr-FR"/>
        </w:rPr>
      </w:pPr>
      <w:r w:rsidRPr="00C13FB4">
        <w:rPr>
          <w:rFonts w:ascii="Comic Sans MS" w:hAnsi="Comic Sans MS"/>
          <w:sz w:val="20"/>
          <w:szCs w:val="20"/>
          <w:lang w:val="fr-FR"/>
        </w:rPr>
        <w:t>Les charges de</w:t>
      </w:r>
      <w:r w:rsidRPr="00C13FB4">
        <w:rPr>
          <w:rFonts w:ascii="Comic Sans MS" w:hAnsi="Comic Sans MS"/>
          <w:sz w:val="20"/>
          <w:szCs w:val="20"/>
        </w:rPr>
        <w:t xml:space="preserve"> personnel </w:t>
      </w:r>
      <w:r w:rsidRPr="00C13FB4">
        <w:rPr>
          <w:rFonts w:ascii="Comic Sans MS" w:hAnsi="Comic Sans MS"/>
          <w:sz w:val="20"/>
          <w:szCs w:val="20"/>
          <w:lang w:val="fr-FR"/>
        </w:rPr>
        <w:t>ont</w:t>
      </w:r>
      <w:r w:rsidRPr="00C13FB4">
        <w:rPr>
          <w:rFonts w:ascii="Comic Sans MS" w:hAnsi="Comic Sans MS"/>
          <w:sz w:val="20"/>
          <w:szCs w:val="20"/>
        </w:rPr>
        <w:t xml:space="preserve"> effectivement augmenté en volume. Dans l’absolu, </w:t>
      </w:r>
      <w:r w:rsidRPr="00C13FB4">
        <w:rPr>
          <w:rFonts w:ascii="Comic Sans MS" w:hAnsi="Comic Sans MS"/>
          <w:sz w:val="20"/>
          <w:szCs w:val="20"/>
          <w:lang w:val="fr-FR"/>
        </w:rPr>
        <w:t>elles ont</w:t>
      </w:r>
      <w:r w:rsidRPr="00C13FB4">
        <w:rPr>
          <w:rFonts w:ascii="Comic Sans MS" w:hAnsi="Comic Sans MS"/>
          <w:sz w:val="20"/>
          <w:szCs w:val="20"/>
        </w:rPr>
        <w:t xml:space="preserve"> bien affecté le résultat comptable de l’entreprise. Mais on observe que le chiffre d’affaires a aussi augmenté sur la période. </w:t>
      </w:r>
    </w:p>
    <w:p w14:paraId="6F1E601C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>On peut comparer les charges de personnel au CA pour compléter l’analyse :</w:t>
      </w:r>
    </w:p>
    <w:tbl>
      <w:tblPr>
        <w:tblW w:w="7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75"/>
        <w:gridCol w:w="1614"/>
        <w:gridCol w:w="1614"/>
        <w:gridCol w:w="1615"/>
      </w:tblGrid>
      <w:tr w:rsidR="00EC6EDE" w:rsidRPr="00C13FB4" w14:paraId="4991A200" w14:textId="77777777" w:rsidTr="005C6AD5">
        <w:trPr>
          <w:trHeight w:val="159"/>
          <w:jc w:val="center"/>
        </w:trPr>
        <w:tc>
          <w:tcPr>
            <w:tcW w:w="26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7B5A1059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14" w:type="dxa"/>
            <w:shd w:val="clear" w:color="auto" w:fill="auto"/>
            <w:noWrap/>
            <w:vAlign w:val="center"/>
            <w:hideMark/>
          </w:tcPr>
          <w:p w14:paraId="4932220A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N-2</w:t>
            </w:r>
          </w:p>
        </w:tc>
        <w:tc>
          <w:tcPr>
            <w:tcW w:w="1614" w:type="dxa"/>
            <w:shd w:val="clear" w:color="auto" w:fill="auto"/>
            <w:noWrap/>
            <w:vAlign w:val="center"/>
            <w:hideMark/>
          </w:tcPr>
          <w:p w14:paraId="2350AF47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N-1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96101DE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</w:tr>
      <w:tr w:rsidR="00EC6EDE" w:rsidRPr="00C13FB4" w14:paraId="474CB366" w14:textId="77777777" w:rsidTr="005C6AD5">
        <w:trPr>
          <w:trHeight w:val="70"/>
          <w:jc w:val="center"/>
        </w:trPr>
        <w:tc>
          <w:tcPr>
            <w:tcW w:w="2675" w:type="dxa"/>
            <w:shd w:val="clear" w:color="auto" w:fill="auto"/>
            <w:noWrap/>
            <w:vAlign w:val="center"/>
            <w:hideMark/>
          </w:tcPr>
          <w:p w14:paraId="7300B99B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CA</w:t>
            </w:r>
          </w:p>
        </w:tc>
        <w:tc>
          <w:tcPr>
            <w:tcW w:w="1614" w:type="dxa"/>
            <w:shd w:val="clear" w:color="auto" w:fill="auto"/>
            <w:noWrap/>
            <w:vAlign w:val="center"/>
            <w:hideMark/>
          </w:tcPr>
          <w:p w14:paraId="7DDD66D1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1 124 541</w:t>
            </w:r>
          </w:p>
        </w:tc>
        <w:tc>
          <w:tcPr>
            <w:tcW w:w="1614" w:type="dxa"/>
            <w:shd w:val="clear" w:color="auto" w:fill="auto"/>
            <w:noWrap/>
            <w:vAlign w:val="center"/>
            <w:hideMark/>
          </w:tcPr>
          <w:p w14:paraId="31BE5557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975 600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DDCB65B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1 089 468</w:t>
            </w:r>
          </w:p>
        </w:tc>
      </w:tr>
      <w:tr w:rsidR="00EC6EDE" w:rsidRPr="00C13FB4" w14:paraId="573D6914" w14:textId="77777777" w:rsidTr="005C6AD5">
        <w:trPr>
          <w:trHeight w:val="70"/>
          <w:jc w:val="center"/>
        </w:trPr>
        <w:tc>
          <w:tcPr>
            <w:tcW w:w="2675" w:type="dxa"/>
            <w:shd w:val="clear" w:color="auto" w:fill="auto"/>
            <w:noWrap/>
            <w:vAlign w:val="center"/>
            <w:hideMark/>
          </w:tcPr>
          <w:p w14:paraId="648B3116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color w:val="000000"/>
                <w:sz w:val="20"/>
                <w:szCs w:val="20"/>
              </w:rPr>
              <w:t>Salaires et traitements</w:t>
            </w:r>
          </w:p>
        </w:tc>
        <w:tc>
          <w:tcPr>
            <w:tcW w:w="1614" w:type="dxa"/>
            <w:shd w:val="clear" w:color="auto" w:fill="auto"/>
            <w:noWrap/>
            <w:vAlign w:val="center"/>
            <w:hideMark/>
          </w:tcPr>
          <w:p w14:paraId="4AE6FB73" w14:textId="77777777" w:rsidR="00EC6EDE" w:rsidRPr="00C13FB4" w:rsidRDefault="00EC6EDE" w:rsidP="005C6AD5">
            <w:pPr>
              <w:ind w:right="380"/>
              <w:jc w:val="right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color w:val="000000"/>
                <w:sz w:val="20"/>
                <w:szCs w:val="20"/>
              </w:rPr>
              <w:t>166 500</w:t>
            </w:r>
          </w:p>
        </w:tc>
        <w:tc>
          <w:tcPr>
            <w:tcW w:w="1614" w:type="dxa"/>
            <w:shd w:val="clear" w:color="auto" w:fill="auto"/>
            <w:noWrap/>
            <w:vAlign w:val="center"/>
            <w:hideMark/>
          </w:tcPr>
          <w:p w14:paraId="1A49382E" w14:textId="77777777" w:rsidR="00EC6EDE" w:rsidRPr="00C13FB4" w:rsidRDefault="00EC6EDE" w:rsidP="005C6AD5">
            <w:pPr>
              <w:ind w:right="380"/>
              <w:jc w:val="right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color w:val="000000"/>
                <w:sz w:val="20"/>
                <w:szCs w:val="20"/>
              </w:rPr>
              <w:t>167 047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5FD088B" w14:textId="77777777" w:rsidR="00EC6EDE" w:rsidRPr="00C13FB4" w:rsidRDefault="00EC6EDE" w:rsidP="005C6AD5">
            <w:pPr>
              <w:ind w:right="380"/>
              <w:jc w:val="right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color w:val="000000"/>
                <w:sz w:val="20"/>
                <w:szCs w:val="20"/>
              </w:rPr>
              <w:t>188 211</w:t>
            </w:r>
          </w:p>
        </w:tc>
      </w:tr>
      <w:tr w:rsidR="00EC6EDE" w:rsidRPr="00C13FB4" w14:paraId="0EF56F23" w14:textId="77777777" w:rsidTr="005C6AD5">
        <w:trPr>
          <w:trHeight w:val="70"/>
          <w:jc w:val="center"/>
        </w:trPr>
        <w:tc>
          <w:tcPr>
            <w:tcW w:w="2675" w:type="dxa"/>
            <w:shd w:val="clear" w:color="auto" w:fill="auto"/>
            <w:noWrap/>
            <w:vAlign w:val="center"/>
            <w:hideMark/>
          </w:tcPr>
          <w:p w14:paraId="69F50106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color w:val="000000"/>
                <w:sz w:val="20"/>
                <w:szCs w:val="20"/>
              </w:rPr>
              <w:t>Charges sociales</w:t>
            </w:r>
          </w:p>
        </w:tc>
        <w:tc>
          <w:tcPr>
            <w:tcW w:w="1614" w:type="dxa"/>
            <w:shd w:val="clear" w:color="auto" w:fill="auto"/>
            <w:noWrap/>
            <w:vAlign w:val="center"/>
            <w:hideMark/>
          </w:tcPr>
          <w:p w14:paraId="77353E6F" w14:textId="77777777" w:rsidR="00EC6EDE" w:rsidRPr="00C13FB4" w:rsidRDefault="00EC6EDE" w:rsidP="005C6AD5">
            <w:pPr>
              <w:ind w:right="380"/>
              <w:jc w:val="right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color w:val="000000"/>
                <w:sz w:val="20"/>
                <w:szCs w:val="20"/>
              </w:rPr>
              <w:t>63 456</w:t>
            </w:r>
          </w:p>
        </w:tc>
        <w:tc>
          <w:tcPr>
            <w:tcW w:w="1614" w:type="dxa"/>
            <w:shd w:val="clear" w:color="auto" w:fill="auto"/>
            <w:noWrap/>
            <w:vAlign w:val="center"/>
            <w:hideMark/>
          </w:tcPr>
          <w:p w14:paraId="50A920CF" w14:textId="77777777" w:rsidR="00EC6EDE" w:rsidRPr="00C13FB4" w:rsidRDefault="00EC6EDE" w:rsidP="005C6AD5">
            <w:pPr>
              <w:ind w:right="380"/>
              <w:jc w:val="right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color w:val="000000"/>
                <w:sz w:val="20"/>
                <w:szCs w:val="20"/>
              </w:rPr>
              <w:t>64 403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35C820A" w14:textId="77777777" w:rsidR="00EC6EDE" w:rsidRPr="00C13FB4" w:rsidRDefault="00EC6EDE" w:rsidP="005C6AD5">
            <w:pPr>
              <w:ind w:right="380"/>
              <w:jc w:val="right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color w:val="000000"/>
                <w:sz w:val="20"/>
                <w:szCs w:val="20"/>
              </w:rPr>
              <w:t>71 321</w:t>
            </w:r>
          </w:p>
        </w:tc>
      </w:tr>
      <w:tr w:rsidR="00EC6EDE" w:rsidRPr="00C13FB4" w14:paraId="5A83968D" w14:textId="77777777" w:rsidTr="005C6AD5">
        <w:trPr>
          <w:trHeight w:val="70"/>
          <w:jc w:val="center"/>
        </w:trPr>
        <w:tc>
          <w:tcPr>
            <w:tcW w:w="2675" w:type="dxa"/>
            <w:shd w:val="clear" w:color="auto" w:fill="auto"/>
            <w:noWrap/>
            <w:vAlign w:val="center"/>
            <w:hideMark/>
          </w:tcPr>
          <w:p w14:paraId="78B53959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Coût du personnel</w:t>
            </w:r>
          </w:p>
        </w:tc>
        <w:tc>
          <w:tcPr>
            <w:tcW w:w="1614" w:type="dxa"/>
            <w:shd w:val="clear" w:color="auto" w:fill="auto"/>
            <w:noWrap/>
            <w:vAlign w:val="center"/>
            <w:hideMark/>
          </w:tcPr>
          <w:p w14:paraId="5B660EE8" w14:textId="77777777" w:rsidR="00EC6EDE" w:rsidRPr="00C13FB4" w:rsidRDefault="00EC6EDE" w:rsidP="005C6AD5">
            <w:pPr>
              <w:ind w:right="380"/>
              <w:jc w:val="right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229 956</w:t>
            </w:r>
          </w:p>
        </w:tc>
        <w:tc>
          <w:tcPr>
            <w:tcW w:w="1614" w:type="dxa"/>
            <w:shd w:val="clear" w:color="auto" w:fill="auto"/>
            <w:noWrap/>
            <w:vAlign w:val="center"/>
            <w:hideMark/>
          </w:tcPr>
          <w:p w14:paraId="7556B29E" w14:textId="77777777" w:rsidR="00EC6EDE" w:rsidRPr="00C13FB4" w:rsidRDefault="00EC6EDE" w:rsidP="005C6AD5">
            <w:pPr>
              <w:ind w:right="380"/>
              <w:jc w:val="right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231 450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A0F5D86" w14:textId="77777777" w:rsidR="00EC6EDE" w:rsidRPr="00C13FB4" w:rsidRDefault="00EC6EDE" w:rsidP="005C6AD5">
            <w:pPr>
              <w:ind w:right="380"/>
              <w:jc w:val="right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259 532</w:t>
            </w:r>
          </w:p>
        </w:tc>
      </w:tr>
      <w:tr w:rsidR="00EC6EDE" w:rsidRPr="00C13FB4" w14:paraId="75B5884C" w14:textId="77777777" w:rsidTr="005C6AD5">
        <w:trPr>
          <w:trHeight w:val="70"/>
          <w:jc w:val="center"/>
        </w:trPr>
        <w:tc>
          <w:tcPr>
            <w:tcW w:w="2675" w:type="dxa"/>
            <w:shd w:val="clear" w:color="auto" w:fill="auto"/>
            <w:noWrap/>
            <w:vAlign w:val="center"/>
            <w:hideMark/>
          </w:tcPr>
          <w:p w14:paraId="053373E5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color w:val="000000"/>
                <w:sz w:val="20"/>
                <w:szCs w:val="20"/>
              </w:rPr>
              <w:t>% Coût du personnel / CA</w:t>
            </w:r>
          </w:p>
        </w:tc>
        <w:tc>
          <w:tcPr>
            <w:tcW w:w="1614" w:type="dxa"/>
            <w:shd w:val="clear" w:color="auto" w:fill="auto"/>
            <w:noWrap/>
            <w:vAlign w:val="center"/>
            <w:hideMark/>
          </w:tcPr>
          <w:p w14:paraId="21F1D569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color w:val="000000"/>
                <w:sz w:val="20"/>
                <w:szCs w:val="20"/>
              </w:rPr>
              <w:t>20,45 %</w:t>
            </w:r>
          </w:p>
        </w:tc>
        <w:tc>
          <w:tcPr>
            <w:tcW w:w="1614" w:type="dxa"/>
            <w:shd w:val="clear" w:color="auto" w:fill="auto"/>
            <w:noWrap/>
            <w:vAlign w:val="center"/>
            <w:hideMark/>
          </w:tcPr>
          <w:p w14:paraId="5594DFFB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color w:val="000000"/>
                <w:sz w:val="20"/>
                <w:szCs w:val="20"/>
              </w:rPr>
              <w:t>23,72 %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B617AEC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color w:val="000000"/>
                <w:sz w:val="20"/>
                <w:szCs w:val="20"/>
              </w:rPr>
              <w:t>23,82 %</w:t>
            </w:r>
          </w:p>
        </w:tc>
      </w:tr>
    </w:tbl>
    <w:p w14:paraId="503AC046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  <w:lang w:val="fr-FR"/>
        </w:rPr>
      </w:pPr>
    </w:p>
    <w:p w14:paraId="78EF1039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>On peut donc observer que la hausse des salaires a été compensée par la hausse du chiffre d’affaires. Proportionnellement au CA, les charges de personnel n’ont pas augmenté.</w:t>
      </w:r>
    </w:p>
    <w:p w14:paraId="064E4FE6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</w:p>
    <w:p w14:paraId="30E024E4" w14:textId="77777777" w:rsidR="00EC6EDE" w:rsidRPr="00C13FB4" w:rsidRDefault="00EC6EDE" w:rsidP="00EC6EDE">
      <w:pPr>
        <w:pStyle w:val="Question"/>
        <w:spacing w:after="0"/>
        <w:rPr>
          <w:rFonts w:ascii="Comic Sans MS" w:hAnsi="Comic Sans MS"/>
          <w:spacing w:val="-3"/>
          <w:sz w:val="20"/>
          <w:szCs w:val="20"/>
        </w:rPr>
      </w:pPr>
      <w:r w:rsidRPr="00C13FB4">
        <w:rPr>
          <w:rFonts w:ascii="Comic Sans MS" w:hAnsi="Comic Sans MS"/>
          <w:spacing w:val="-3"/>
          <w:sz w:val="20"/>
          <w:szCs w:val="20"/>
        </w:rPr>
        <w:t>Calculez l’évolution de la capacité d’autofinancement de l’entreprise : complétez l’annexe 3.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679"/>
        <w:gridCol w:w="1464"/>
        <w:gridCol w:w="1464"/>
        <w:gridCol w:w="1465"/>
      </w:tblGrid>
      <w:tr w:rsidR="00EC6EDE" w:rsidRPr="00C13FB4" w14:paraId="37EB3DD3" w14:textId="77777777" w:rsidTr="005C6AD5">
        <w:trPr>
          <w:trHeight w:val="40"/>
          <w:jc w:val="center"/>
        </w:trPr>
        <w:tc>
          <w:tcPr>
            <w:tcW w:w="4679" w:type="dxa"/>
            <w:shd w:val="clear" w:color="auto" w:fill="auto"/>
            <w:noWrap/>
            <w:vAlign w:val="center"/>
            <w:hideMark/>
          </w:tcPr>
          <w:p w14:paraId="21F3FC59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i/>
                <w:i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i/>
                <w:iCs/>
                <w:sz w:val="20"/>
                <w:szCs w:val="20"/>
              </w:rPr>
              <w:t>Méthode soustractive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28249AAE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sz w:val="20"/>
                <w:szCs w:val="20"/>
              </w:rPr>
              <w:t>N-1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1F4ECF78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65" w:type="dxa"/>
            <w:shd w:val="clear" w:color="auto" w:fill="auto"/>
            <w:noWrap/>
            <w:vAlign w:val="center"/>
            <w:hideMark/>
          </w:tcPr>
          <w:p w14:paraId="2D79E24C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b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sz w:val="20"/>
                <w:szCs w:val="20"/>
              </w:rPr>
              <w:t>% Évol.</w:t>
            </w:r>
          </w:p>
        </w:tc>
      </w:tr>
      <w:tr w:rsidR="00EC6EDE" w:rsidRPr="00C13FB4" w14:paraId="6100FC77" w14:textId="77777777" w:rsidTr="005C6AD5">
        <w:trPr>
          <w:trHeight w:val="40"/>
          <w:jc w:val="center"/>
        </w:trPr>
        <w:tc>
          <w:tcPr>
            <w:tcW w:w="4679" w:type="dxa"/>
            <w:shd w:val="clear" w:color="auto" w:fill="auto"/>
            <w:noWrap/>
            <w:vAlign w:val="center"/>
            <w:hideMark/>
          </w:tcPr>
          <w:p w14:paraId="56AF94AD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b/>
                <w:b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sz w:val="20"/>
                <w:szCs w:val="20"/>
              </w:rPr>
              <w:t xml:space="preserve">   EBE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28E7A690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b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sz w:val="20"/>
                <w:szCs w:val="20"/>
              </w:rPr>
              <w:t>128 898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59EDA380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b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sz w:val="20"/>
                <w:szCs w:val="20"/>
              </w:rPr>
              <w:t>210 691</w:t>
            </w:r>
          </w:p>
        </w:tc>
        <w:tc>
          <w:tcPr>
            <w:tcW w:w="1465" w:type="dxa"/>
            <w:shd w:val="clear" w:color="auto" w:fill="auto"/>
            <w:noWrap/>
            <w:vAlign w:val="center"/>
            <w:hideMark/>
          </w:tcPr>
          <w:p w14:paraId="0CA64064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63,5 %</w:t>
            </w:r>
          </w:p>
        </w:tc>
      </w:tr>
      <w:tr w:rsidR="00EC6EDE" w:rsidRPr="00C13FB4" w14:paraId="4F6B1DA1" w14:textId="77777777" w:rsidTr="005C6AD5">
        <w:trPr>
          <w:trHeight w:val="40"/>
          <w:jc w:val="center"/>
        </w:trPr>
        <w:tc>
          <w:tcPr>
            <w:tcW w:w="4679" w:type="dxa"/>
            <w:shd w:val="clear" w:color="auto" w:fill="auto"/>
            <w:noWrap/>
            <w:vAlign w:val="center"/>
            <w:hideMark/>
          </w:tcPr>
          <w:p w14:paraId="7DE24DA6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+ Transferts de charges d’exploitation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6DC9D323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 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72B5CD0A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 </w:t>
            </w:r>
          </w:p>
        </w:tc>
        <w:tc>
          <w:tcPr>
            <w:tcW w:w="1465" w:type="dxa"/>
            <w:shd w:val="clear" w:color="auto" w:fill="auto"/>
            <w:noWrap/>
            <w:vAlign w:val="center"/>
            <w:hideMark/>
          </w:tcPr>
          <w:p w14:paraId="4387E50E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</w:p>
        </w:tc>
      </w:tr>
      <w:tr w:rsidR="00EC6EDE" w:rsidRPr="00C13FB4" w14:paraId="68764F46" w14:textId="77777777" w:rsidTr="005C6AD5">
        <w:trPr>
          <w:trHeight w:val="40"/>
          <w:jc w:val="center"/>
        </w:trPr>
        <w:tc>
          <w:tcPr>
            <w:tcW w:w="4679" w:type="dxa"/>
            <w:shd w:val="clear" w:color="auto" w:fill="auto"/>
            <w:noWrap/>
            <w:vAlign w:val="center"/>
            <w:hideMark/>
          </w:tcPr>
          <w:p w14:paraId="5B5C97A2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+ Autres produits d’exploitation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0A31FC25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0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3AA2C633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0</w:t>
            </w:r>
          </w:p>
        </w:tc>
        <w:tc>
          <w:tcPr>
            <w:tcW w:w="1465" w:type="dxa"/>
            <w:shd w:val="clear" w:color="auto" w:fill="auto"/>
            <w:noWrap/>
            <w:vAlign w:val="center"/>
            <w:hideMark/>
          </w:tcPr>
          <w:p w14:paraId="119A5332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</w:p>
        </w:tc>
      </w:tr>
      <w:tr w:rsidR="00EC6EDE" w:rsidRPr="00C13FB4" w14:paraId="058DC9AE" w14:textId="77777777" w:rsidTr="005C6AD5">
        <w:trPr>
          <w:trHeight w:val="40"/>
          <w:jc w:val="center"/>
        </w:trPr>
        <w:tc>
          <w:tcPr>
            <w:tcW w:w="4679" w:type="dxa"/>
            <w:shd w:val="clear" w:color="auto" w:fill="auto"/>
            <w:noWrap/>
            <w:vAlign w:val="center"/>
            <w:hideMark/>
          </w:tcPr>
          <w:p w14:paraId="1DCC0D6B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+ Produits financiers encaissables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382B854F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144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78A5ED74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210</w:t>
            </w:r>
          </w:p>
        </w:tc>
        <w:tc>
          <w:tcPr>
            <w:tcW w:w="1465" w:type="dxa"/>
            <w:shd w:val="clear" w:color="auto" w:fill="auto"/>
            <w:noWrap/>
            <w:vAlign w:val="center"/>
            <w:hideMark/>
          </w:tcPr>
          <w:p w14:paraId="10937F78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</w:p>
        </w:tc>
      </w:tr>
      <w:tr w:rsidR="00EC6EDE" w:rsidRPr="00C13FB4" w14:paraId="556B6225" w14:textId="77777777" w:rsidTr="005C6AD5">
        <w:trPr>
          <w:trHeight w:val="40"/>
          <w:jc w:val="center"/>
        </w:trPr>
        <w:tc>
          <w:tcPr>
            <w:tcW w:w="4679" w:type="dxa"/>
            <w:shd w:val="clear" w:color="auto" w:fill="auto"/>
            <w:noWrap/>
            <w:vAlign w:val="center"/>
            <w:hideMark/>
          </w:tcPr>
          <w:p w14:paraId="2B7EDCB2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+ Produits exceptionnels encaissables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3CE57341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39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49834F3E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2 479</w:t>
            </w:r>
          </w:p>
        </w:tc>
        <w:tc>
          <w:tcPr>
            <w:tcW w:w="1465" w:type="dxa"/>
            <w:shd w:val="clear" w:color="auto" w:fill="auto"/>
            <w:noWrap/>
            <w:vAlign w:val="center"/>
            <w:hideMark/>
          </w:tcPr>
          <w:p w14:paraId="4D83D411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</w:p>
        </w:tc>
      </w:tr>
      <w:tr w:rsidR="00EC6EDE" w:rsidRPr="00C13FB4" w14:paraId="346E9988" w14:textId="77777777" w:rsidTr="005C6AD5">
        <w:trPr>
          <w:trHeight w:val="40"/>
          <w:jc w:val="center"/>
        </w:trPr>
        <w:tc>
          <w:tcPr>
            <w:tcW w:w="4679" w:type="dxa"/>
            <w:shd w:val="clear" w:color="auto" w:fill="auto"/>
            <w:noWrap/>
            <w:vAlign w:val="center"/>
            <w:hideMark/>
          </w:tcPr>
          <w:p w14:paraId="13A11AB5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– Autres charges d’exploitation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268A4F7F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4 321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23188864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2 949</w:t>
            </w:r>
          </w:p>
        </w:tc>
        <w:tc>
          <w:tcPr>
            <w:tcW w:w="1465" w:type="dxa"/>
            <w:shd w:val="clear" w:color="auto" w:fill="auto"/>
            <w:noWrap/>
            <w:vAlign w:val="center"/>
            <w:hideMark/>
          </w:tcPr>
          <w:p w14:paraId="7F352237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</w:p>
        </w:tc>
      </w:tr>
      <w:tr w:rsidR="00EC6EDE" w:rsidRPr="00C13FB4" w14:paraId="1C44E834" w14:textId="77777777" w:rsidTr="005C6AD5">
        <w:trPr>
          <w:trHeight w:val="40"/>
          <w:jc w:val="center"/>
        </w:trPr>
        <w:tc>
          <w:tcPr>
            <w:tcW w:w="4679" w:type="dxa"/>
            <w:shd w:val="clear" w:color="auto" w:fill="auto"/>
            <w:noWrap/>
            <w:vAlign w:val="center"/>
            <w:hideMark/>
          </w:tcPr>
          <w:p w14:paraId="1204D27F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– Charges financières décaissables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5E0C0EAD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523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0F9BFA10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805</w:t>
            </w:r>
          </w:p>
        </w:tc>
        <w:tc>
          <w:tcPr>
            <w:tcW w:w="1465" w:type="dxa"/>
            <w:shd w:val="clear" w:color="auto" w:fill="auto"/>
            <w:noWrap/>
            <w:vAlign w:val="center"/>
            <w:hideMark/>
          </w:tcPr>
          <w:p w14:paraId="6DD4EAE9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</w:p>
        </w:tc>
      </w:tr>
      <w:tr w:rsidR="00EC6EDE" w:rsidRPr="00C13FB4" w14:paraId="39753912" w14:textId="77777777" w:rsidTr="005C6AD5">
        <w:trPr>
          <w:trHeight w:val="40"/>
          <w:jc w:val="center"/>
        </w:trPr>
        <w:tc>
          <w:tcPr>
            <w:tcW w:w="4679" w:type="dxa"/>
            <w:shd w:val="clear" w:color="auto" w:fill="auto"/>
            <w:noWrap/>
            <w:vAlign w:val="center"/>
            <w:hideMark/>
          </w:tcPr>
          <w:p w14:paraId="1A8CDA9A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– Charges exceptionnelles décaissables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28AAF2E7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0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41356128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1 318</w:t>
            </w:r>
          </w:p>
        </w:tc>
        <w:tc>
          <w:tcPr>
            <w:tcW w:w="1465" w:type="dxa"/>
            <w:shd w:val="clear" w:color="auto" w:fill="auto"/>
            <w:noWrap/>
            <w:vAlign w:val="center"/>
            <w:hideMark/>
          </w:tcPr>
          <w:p w14:paraId="37DD222F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</w:p>
        </w:tc>
      </w:tr>
      <w:tr w:rsidR="00EC6EDE" w:rsidRPr="00C13FB4" w14:paraId="470468AD" w14:textId="77777777" w:rsidTr="005C6AD5">
        <w:trPr>
          <w:trHeight w:val="40"/>
          <w:jc w:val="center"/>
        </w:trPr>
        <w:tc>
          <w:tcPr>
            <w:tcW w:w="4679" w:type="dxa"/>
            <w:shd w:val="clear" w:color="auto" w:fill="auto"/>
            <w:noWrap/>
            <w:vAlign w:val="center"/>
            <w:hideMark/>
          </w:tcPr>
          <w:p w14:paraId="611B32C4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– Participation des salariés aux résultats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6B777120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 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603BD65A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 </w:t>
            </w:r>
          </w:p>
        </w:tc>
        <w:tc>
          <w:tcPr>
            <w:tcW w:w="1465" w:type="dxa"/>
            <w:shd w:val="clear" w:color="auto" w:fill="auto"/>
            <w:noWrap/>
            <w:vAlign w:val="center"/>
            <w:hideMark/>
          </w:tcPr>
          <w:p w14:paraId="729B331A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</w:p>
        </w:tc>
      </w:tr>
      <w:tr w:rsidR="00EC6EDE" w:rsidRPr="00C13FB4" w14:paraId="6B284761" w14:textId="77777777" w:rsidTr="005C6AD5">
        <w:trPr>
          <w:trHeight w:val="20"/>
          <w:jc w:val="center"/>
        </w:trPr>
        <w:tc>
          <w:tcPr>
            <w:tcW w:w="4679" w:type="dxa"/>
            <w:shd w:val="clear" w:color="auto" w:fill="auto"/>
            <w:noWrap/>
            <w:vAlign w:val="center"/>
            <w:hideMark/>
          </w:tcPr>
          <w:p w14:paraId="0F3094FC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–</w:t>
            </w:r>
            <w:r w:rsidRPr="00C13FB4">
              <w:rPr>
                <w:rFonts w:ascii="Comic Sans MS" w:hAnsi="Comic Sans MS"/>
                <w:sz w:val="20"/>
                <w:szCs w:val="20"/>
              </w:rPr>
              <w:t> </w:t>
            </w:r>
            <w:r w:rsidRPr="00C13FB4">
              <w:rPr>
                <w:rFonts w:ascii="Comic Sans MS" w:hAnsi="Comic Sans MS" w:cs="Arial"/>
                <w:sz w:val="20"/>
                <w:szCs w:val="20"/>
              </w:rPr>
              <w:t>Impôts sur les bénéfices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55D03CBF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31 578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30B743E1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37 544</w:t>
            </w:r>
          </w:p>
        </w:tc>
        <w:tc>
          <w:tcPr>
            <w:tcW w:w="1465" w:type="dxa"/>
            <w:shd w:val="clear" w:color="auto" w:fill="auto"/>
            <w:noWrap/>
            <w:vAlign w:val="center"/>
            <w:hideMark/>
          </w:tcPr>
          <w:p w14:paraId="01B3D613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b/>
                <w:sz w:val="20"/>
                <w:szCs w:val="20"/>
              </w:rPr>
            </w:pPr>
          </w:p>
        </w:tc>
      </w:tr>
      <w:tr w:rsidR="00EC6EDE" w:rsidRPr="00C13FB4" w14:paraId="027E8F4D" w14:textId="77777777" w:rsidTr="005C6AD5">
        <w:trPr>
          <w:trHeight w:val="40"/>
          <w:jc w:val="center"/>
        </w:trPr>
        <w:tc>
          <w:tcPr>
            <w:tcW w:w="4679" w:type="dxa"/>
            <w:shd w:val="clear" w:color="auto" w:fill="auto"/>
            <w:noWrap/>
            <w:vAlign w:val="center"/>
            <w:hideMark/>
          </w:tcPr>
          <w:p w14:paraId="03474217" w14:textId="77777777" w:rsidR="00EC6EDE" w:rsidRPr="00C13FB4" w:rsidRDefault="00EC6EDE" w:rsidP="005C6AD5">
            <w:pPr>
              <w:jc w:val="left"/>
              <w:rPr>
                <w:rFonts w:ascii="Comic Sans MS" w:hAnsi="Comic Sans MS" w:cs="Arial"/>
                <w:b/>
                <w:b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sz w:val="20"/>
                <w:szCs w:val="20"/>
              </w:rPr>
              <w:t>= CAF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5FBF1B7C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b/>
                <w:b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sz w:val="20"/>
                <w:szCs w:val="20"/>
              </w:rPr>
              <w:t>92 659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14:paraId="418E478E" w14:textId="77777777" w:rsidR="00EC6EDE" w:rsidRPr="00C13FB4" w:rsidRDefault="00EC6EDE" w:rsidP="005C6AD5">
            <w:pPr>
              <w:ind w:right="312"/>
              <w:jc w:val="right"/>
              <w:rPr>
                <w:rFonts w:ascii="Comic Sans MS" w:hAnsi="Comic Sans MS" w:cs="Arial"/>
                <w:b/>
                <w:bCs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b/>
                <w:bCs/>
                <w:sz w:val="20"/>
                <w:szCs w:val="20"/>
              </w:rPr>
              <w:t>170 764</w:t>
            </w:r>
          </w:p>
        </w:tc>
        <w:tc>
          <w:tcPr>
            <w:tcW w:w="1465" w:type="dxa"/>
            <w:shd w:val="clear" w:color="auto" w:fill="auto"/>
            <w:noWrap/>
            <w:vAlign w:val="center"/>
            <w:hideMark/>
          </w:tcPr>
          <w:p w14:paraId="0A5BE576" w14:textId="77777777" w:rsidR="00EC6EDE" w:rsidRPr="00C13FB4" w:rsidRDefault="00EC6EDE" w:rsidP="005C6AD5">
            <w:pPr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 w:rsidRPr="00C13FB4">
              <w:rPr>
                <w:rFonts w:ascii="Comic Sans MS" w:hAnsi="Comic Sans MS" w:cs="Arial"/>
                <w:sz w:val="20"/>
                <w:szCs w:val="20"/>
              </w:rPr>
              <w:t>84,3 %</w:t>
            </w:r>
          </w:p>
        </w:tc>
      </w:tr>
    </w:tbl>
    <w:p w14:paraId="4C4C2FA0" w14:textId="77777777" w:rsidR="00EC6EDE" w:rsidRPr="00C13FB4" w:rsidRDefault="00EC6EDE" w:rsidP="00EC6EDE">
      <w:pPr>
        <w:pStyle w:val="Question"/>
        <w:pageBreakBefore/>
        <w:spacing w:after="0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lastRenderedPageBreak/>
        <w:t>À l’aide de l’ensemble des informations produites, appréciez les effets de la stratégie du responsable sur les charges puis sur la profitabilité de l’entreprise.</w:t>
      </w:r>
    </w:p>
    <w:p w14:paraId="21CBDEE0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 xml:space="preserve">En N, l’entreprise a réalisé un bénéfice de 170 778 €. Ce résultat a presque doublé par rapport à </w:t>
      </w:r>
      <w:r w:rsidRPr="00C13FB4">
        <w:rPr>
          <w:rFonts w:ascii="Comic Sans MS" w:hAnsi="Comic Sans MS"/>
          <w:sz w:val="20"/>
          <w:szCs w:val="20"/>
          <w:lang w:val="fr-FR"/>
        </w:rPr>
        <w:t>N-1</w:t>
      </w:r>
      <w:r w:rsidRPr="00C13FB4">
        <w:rPr>
          <w:rFonts w:ascii="Comic Sans MS" w:hAnsi="Comic Sans MS"/>
          <w:sz w:val="20"/>
          <w:szCs w:val="20"/>
        </w:rPr>
        <w:t xml:space="preserve"> (+</w:t>
      </w:r>
      <w:r w:rsidRPr="00C13FB4">
        <w:rPr>
          <w:rFonts w:ascii="Comic Sans MS" w:hAnsi="Comic Sans MS"/>
          <w:sz w:val="20"/>
          <w:szCs w:val="20"/>
          <w:lang w:val="fr-FR"/>
        </w:rPr>
        <w:t> </w:t>
      </w:r>
      <w:r w:rsidRPr="00C13FB4">
        <w:rPr>
          <w:rFonts w:ascii="Comic Sans MS" w:hAnsi="Comic Sans MS"/>
          <w:sz w:val="20"/>
          <w:szCs w:val="20"/>
        </w:rPr>
        <w:t>99,7 %) et représente désormais plus de 15 % du chiffre d’affaires alors que la moyenne du secteur est de 10,5 %. La performance de l’entreprise s’est donc nettement améliorée en N.</w:t>
      </w:r>
    </w:p>
    <w:p w14:paraId="25320860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>L’activité a permis de dégager plus de 170 000 € de ressources financières (CAF)</w:t>
      </w:r>
      <w:r w:rsidRPr="00C13FB4">
        <w:rPr>
          <w:rFonts w:ascii="Comic Sans MS" w:hAnsi="Comic Sans MS"/>
          <w:sz w:val="20"/>
          <w:szCs w:val="20"/>
          <w:lang w:val="fr-FR"/>
        </w:rPr>
        <w:t>,</w:t>
      </w:r>
      <w:r w:rsidRPr="00C13FB4">
        <w:rPr>
          <w:rFonts w:ascii="Comic Sans MS" w:hAnsi="Comic Sans MS"/>
          <w:sz w:val="20"/>
          <w:szCs w:val="20"/>
        </w:rPr>
        <w:t xml:space="preserve"> soit, là encore, une progression spectaculaire par rapport à l’année précédente (+ 84,7 %).</w:t>
      </w:r>
    </w:p>
    <w:p w14:paraId="0B780BEB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>Ces progrès sont très certainement liés aux mesures prises par M.</w:t>
      </w:r>
      <w:r w:rsidRPr="00C13FB4">
        <w:rPr>
          <w:rFonts w:ascii="Comic Sans MS" w:hAnsi="Comic Sans MS"/>
          <w:sz w:val="20"/>
          <w:szCs w:val="20"/>
          <w:lang w:val="fr-FR"/>
        </w:rPr>
        <w:t> </w:t>
      </w:r>
      <w:r w:rsidRPr="00C13FB4">
        <w:rPr>
          <w:rFonts w:ascii="Comic Sans MS" w:hAnsi="Comic Sans MS"/>
          <w:sz w:val="20"/>
          <w:szCs w:val="20"/>
        </w:rPr>
        <w:t>Mrugalski en début d’année N.</w:t>
      </w:r>
    </w:p>
    <w:p w14:paraId="176DDCF6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 xml:space="preserve">L’embauche d’un nouveau commercial pour soutenir les ventes semble avoir produit les effets escomptés : les charges de personnel supplémentaires ont été compensées par une hausse du chiffre d’affaires. Globalement, </w:t>
      </w:r>
      <w:r w:rsidRPr="00C13FB4">
        <w:rPr>
          <w:rFonts w:ascii="Comic Sans MS" w:hAnsi="Comic Sans MS"/>
          <w:sz w:val="20"/>
          <w:szCs w:val="20"/>
          <w:lang w:val="fr-FR"/>
        </w:rPr>
        <w:t>les charges de</w:t>
      </w:r>
      <w:r w:rsidRPr="00C13FB4">
        <w:rPr>
          <w:rFonts w:ascii="Comic Sans MS" w:hAnsi="Comic Sans MS"/>
          <w:sz w:val="20"/>
          <w:szCs w:val="20"/>
        </w:rPr>
        <w:t xml:space="preserve"> personnel </w:t>
      </w:r>
      <w:r w:rsidRPr="00C13FB4">
        <w:rPr>
          <w:rFonts w:ascii="Comic Sans MS" w:hAnsi="Comic Sans MS"/>
          <w:sz w:val="20"/>
          <w:szCs w:val="20"/>
          <w:lang w:val="fr-FR"/>
        </w:rPr>
        <w:t>ont</w:t>
      </w:r>
      <w:r w:rsidRPr="00C13FB4">
        <w:rPr>
          <w:rFonts w:ascii="Comic Sans MS" w:hAnsi="Comic Sans MS"/>
          <w:sz w:val="20"/>
          <w:szCs w:val="20"/>
        </w:rPr>
        <w:t xml:space="preserve"> même baissé par rappor</w:t>
      </w:r>
      <w:r w:rsidRPr="00C13FB4">
        <w:rPr>
          <w:rFonts w:ascii="Comic Sans MS" w:hAnsi="Comic Sans MS"/>
          <w:sz w:val="20"/>
          <w:szCs w:val="20"/>
          <w:lang w:val="fr-FR"/>
        </w:rPr>
        <w:t>t</w:t>
      </w:r>
      <w:r w:rsidRPr="00C13FB4">
        <w:rPr>
          <w:rFonts w:ascii="Comic Sans MS" w:hAnsi="Comic Sans MS"/>
          <w:sz w:val="20"/>
          <w:szCs w:val="20"/>
        </w:rPr>
        <w:t xml:space="preserve"> au CA.</w:t>
      </w:r>
    </w:p>
    <w:p w14:paraId="6CC291BF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>Les renégociations des conditions d’achat auprès des fournisseurs ont, elles aussi, porté leurs fruits : le coût d’achat des marchandises vendues est en baisse proportionnellement au CA (de 49 à 45 % du CA), les autres achats et charges externes ont baissé de près de 15 % en une année.</w:t>
      </w:r>
    </w:p>
    <w:p w14:paraId="7F5E380E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>Il semble donc que les risques pris par M.</w:t>
      </w:r>
      <w:r w:rsidRPr="00C13FB4">
        <w:rPr>
          <w:rFonts w:ascii="Comic Sans MS" w:hAnsi="Comic Sans MS"/>
          <w:sz w:val="20"/>
          <w:szCs w:val="20"/>
          <w:lang w:val="fr-FR"/>
        </w:rPr>
        <w:t> </w:t>
      </w:r>
      <w:r w:rsidRPr="00C13FB4">
        <w:rPr>
          <w:rFonts w:ascii="Comic Sans MS" w:hAnsi="Comic Sans MS"/>
          <w:sz w:val="20"/>
          <w:szCs w:val="20"/>
        </w:rPr>
        <w:t>Mrugalski ont été payants. Sa stratégie a permis d’améliorer sensiblement la performance de l’entreprise.</w:t>
      </w:r>
    </w:p>
    <w:p w14:paraId="5C997209" w14:textId="77777777" w:rsidR="00EC6EDE" w:rsidRPr="00C13FB4" w:rsidRDefault="00EC6EDE" w:rsidP="00EC6EDE">
      <w:pPr>
        <w:pStyle w:val="Titre3"/>
        <w:spacing w:after="0"/>
        <w:rPr>
          <w:rFonts w:ascii="Comic Sans MS" w:hAnsi="Comic Sans MS"/>
          <w:sz w:val="20"/>
          <w:szCs w:val="20"/>
          <w:lang w:val="fr-FR"/>
        </w:rPr>
      </w:pPr>
      <w:r w:rsidRPr="00C13FB4">
        <w:rPr>
          <w:rFonts w:ascii="Comic Sans MS" w:hAnsi="Comic Sans MS"/>
          <w:sz w:val="20"/>
          <w:szCs w:val="20"/>
        </w:rPr>
        <w:t>Seconde partie</w:t>
      </w:r>
    </w:p>
    <w:p w14:paraId="05B8B457" w14:textId="77777777" w:rsidR="00EC6EDE" w:rsidRPr="00C13FB4" w:rsidRDefault="00EC6EDE" w:rsidP="00EC6EDE">
      <w:pPr>
        <w:jc w:val="left"/>
        <w:rPr>
          <w:rFonts w:ascii="Comic Sans MS" w:hAnsi="Comic Sans MS"/>
          <w:b/>
          <w:sz w:val="20"/>
          <w:szCs w:val="20"/>
        </w:rPr>
      </w:pPr>
      <w:r w:rsidRPr="00C13FB4">
        <w:rPr>
          <w:rFonts w:ascii="Comic Sans MS" w:hAnsi="Comic Sans MS"/>
          <w:b/>
          <w:sz w:val="20"/>
          <w:szCs w:val="20"/>
        </w:rPr>
        <w:t xml:space="preserve">En lien avec le travail réalisé en première partie, rédigez une réponse synthétique, cohérente et argumentée à la question suivante : </w:t>
      </w:r>
    </w:p>
    <w:p w14:paraId="19EB24C1" w14:textId="77777777" w:rsidR="00EC6EDE" w:rsidRPr="00C13FB4" w:rsidRDefault="00EC6EDE" w:rsidP="00EC6EDE">
      <w:pPr>
        <w:spacing w:before="120"/>
        <w:jc w:val="left"/>
        <w:rPr>
          <w:rFonts w:ascii="Comic Sans MS" w:hAnsi="Comic Sans MS"/>
          <w:b/>
          <w:sz w:val="20"/>
          <w:szCs w:val="20"/>
        </w:rPr>
      </w:pPr>
      <w:r w:rsidRPr="00C13FB4">
        <w:rPr>
          <w:rFonts w:ascii="Comic Sans MS" w:hAnsi="Comic Sans MS"/>
          <w:b/>
          <w:sz w:val="20"/>
          <w:szCs w:val="20"/>
        </w:rPr>
        <w:t>• La réduction des coûts permet-elle systématiquement d’améliorer la profitabilité de l’entreprise ?</w:t>
      </w:r>
    </w:p>
    <w:p w14:paraId="6CEDCDF6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>La performance de l’entreprise passe par sa profitabilité</w:t>
      </w:r>
      <w:r w:rsidRPr="00C13FB4">
        <w:rPr>
          <w:rFonts w:ascii="Comic Sans MS" w:hAnsi="Comic Sans MS"/>
          <w:sz w:val="20"/>
          <w:szCs w:val="20"/>
          <w:lang w:val="fr-FR"/>
        </w:rPr>
        <w:t>,</w:t>
      </w:r>
      <w:r w:rsidRPr="00C13FB4">
        <w:rPr>
          <w:rFonts w:ascii="Comic Sans MS" w:hAnsi="Comic Sans MS"/>
          <w:sz w:val="20"/>
          <w:szCs w:val="20"/>
        </w:rPr>
        <w:t xml:space="preserve"> c</w:t>
      </w:r>
      <w:r w:rsidRPr="00C13FB4">
        <w:rPr>
          <w:rFonts w:ascii="Comic Sans MS" w:hAnsi="Comic Sans MS"/>
          <w:sz w:val="20"/>
          <w:szCs w:val="20"/>
          <w:lang w:val="fr-FR"/>
        </w:rPr>
        <w:t>’</w:t>
      </w:r>
      <w:r w:rsidRPr="00C13FB4">
        <w:rPr>
          <w:rFonts w:ascii="Comic Sans MS" w:hAnsi="Comic Sans MS"/>
          <w:sz w:val="20"/>
          <w:szCs w:val="20"/>
        </w:rPr>
        <w:t xml:space="preserve">est-à-dire par sa capacité à générer des </w:t>
      </w:r>
      <w:r w:rsidRPr="00C13FB4">
        <w:rPr>
          <w:rFonts w:ascii="Comic Sans MS" w:hAnsi="Comic Sans MS"/>
          <w:spacing w:val="-4"/>
          <w:sz w:val="20"/>
          <w:szCs w:val="20"/>
        </w:rPr>
        <w:t>bénéfices. Le taux de profitabilité (résultat net comptable/CA) est d’ailleurs un indicateur incontournable</w:t>
      </w:r>
      <w:r w:rsidRPr="00C13FB4">
        <w:rPr>
          <w:rFonts w:ascii="Comic Sans MS" w:hAnsi="Comic Sans MS"/>
          <w:sz w:val="20"/>
          <w:szCs w:val="20"/>
        </w:rPr>
        <w:t>, utilisé presque quotidiennement par les décideurs.</w:t>
      </w:r>
    </w:p>
    <w:p w14:paraId="7A034C00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>Une amélioration de la profitabilité de l’entreprise garantit sa pérennité : plus de bénéfice entraîne</w:t>
      </w:r>
      <w:r w:rsidRPr="00C13FB4">
        <w:rPr>
          <w:rFonts w:ascii="Comic Sans MS" w:hAnsi="Comic Sans MS"/>
          <w:sz w:val="20"/>
          <w:szCs w:val="20"/>
          <w:lang w:val="fr-FR"/>
        </w:rPr>
        <w:t xml:space="preserve"> </w:t>
      </w:r>
      <w:r w:rsidRPr="00C13FB4">
        <w:rPr>
          <w:rFonts w:ascii="Comic Sans MS" w:hAnsi="Comic Sans MS"/>
          <w:sz w:val="20"/>
          <w:szCs w:val="20"/>
        </w:rPr>
        <w:t xml:space="preserve">plus </w:t>
      </w:r>
      <w:r w:rsidRPr="00C13FB4">
        <w:rPr>
          <w:rFonts w:ascii="Comic Sans MS" w:hAnsi="Comic Sans MS"/>
          <w:spacing w:val="-4"/>
          <w:sz w:val="20"/>
          <w:szCs w:val="20"/>
        </w:rPr>
        <w:t>de ressources financières (autofinancement) et donc des moyens non coût</w:t>
      </w:r>
      <w:r w:rsidRPr="00C13FB4">
        <w:rPr>
          <w:rFonts w:ascii="Comic Sans MS" w:hAnsi="Comic Sans MS"/>
          <w:spacing w:val="-4"/>
          <w:sz w:val="20"/>
          <w:szCs w:val="20"/>
          <w:lang w:val="fr-FR"/>
        </w:rPr>
        <w:t>eux</w:t>
      </w:r>
      <w:r w:rsidRPr="00C13FB4">
        <w:rPr>
          <w:rFonts w:ascii="Comic Sans MS" w:hAnsi="Comic Sans MS"/>
          <w:spacing w:val="-4"/>
          <w:sz w:val="20"/>
          <w:szCs w:val="20"/>
        </w:rPr>
        <w:t xml:space="preserve"> pour investir dans l’entreprise</w:t>
      </w:r>
      <w:r w:rsidRPr="00C13FB4">
        <w:rPr>
          <w:rFonts w:ascii="Comic Sans MS" w:hAnsi="Comic Sans MS"/>
          <w:sz w:val="20"/>
          <w:szCs w:val="20"/>
        </w:rPr>
        <w:t xml:space="preserve"> et maintenir sa compétitivité.</w:t>
      </w:r>
    </w:p>
    <w:p w14:paraId="6B87A318" w14:textId="77777777" w:rsidR="00EC6EDE" w:rsidRPr="00C13FB4" w:rsidRDefault="00EC6EDE" w:rsidP="00EC6EDE">
      <w:pPr>
        <w:pStyle w:val="Rponse"/>
        <w:rPr>
          <w:rFonts w:ascii="Comic Sans MS" w:hAnsi="Comic Sans MS"/>
          <w:spacing w:val="-2"/>
          <w:sz w:val="20"/>
          <w:szCs w:val="20"/>
          <w:lang w:val="fr-FR"/>
        </w:rPr>
      </w:pPr>
      <w:r w:rsidRPr="00C13FB4">
        <w:rPr>
          <w:rFonts w:ascii="Comic Sans MS" w:hAnsi="Comic Sans MS"/>
          <w:spacing w:val="-2"/>
          <w:sz w:val="20"/>
          <w:szCs w:val="20"/>
        </w:rPr>
        <w:t>Ainsi, le maintien, voir</w:t>
      </w:r>
      <w:r w:rsidRPr="00C13FB4">
        <w:rPr>
          <w:rFonts w:ascii="Comic Sans MS" w:hAnsi="Comic Sans MS"/>
          <w:spacing w:val="-2"/>
          <w:sz w:val="20"/>
          <w:szCs w:val="20"/>
          <w:lang w:val="fr-FR"/>
        </w:rPr>
        <w:t>e</w:t>
      </w:r>
      <w:r w:rsidRPr="00C13FB4">
        <w:rPr>
          <w:rFonts w:ascii="Comic Sans MS" w:hAnsi="Comic Sans MS"/>
          <w:spacing w:val="-2"/>
          <w:sz w:val="20"/>
          <w:szCs w:val="20"/>
        </w:rPr>
        <w:t xml:space="preserve"> l’amélioration de la profitabilité</w:t>
      </w:r>
      <w:r w:rsidRPr="00C13FB4">
        <w:rPr>
          <w:rFonts w:ascii="Comic Sans MS" w:hAnsi="Comic Sans MS"/>
          <w:spacing w:val="-2"/>
          <w:sz w:val="20"/>
          <w:szCs w:val="20"/>
          <w:lang w:val="fr-FR"/>
        </w:rPr>
        <w:t>,</w:t>
      </w:r>
      <w:r w:rsidRPr="00C13FB4">
        <w:rPr>
          <w:rFonts w:ascii="Comic Sans MS" w:hAnsi="Comic Sans MS"/>
          <w:spacing w:val="-2"/>
          <w:sz w:val="20"/>
          <w:szCs w:val="20"/>
        </w:rPr>
        <w:t xml:space="preserve"> est un objectif permanent du chef d’entreprise.</w:t>
      </w:r>
    </w:p>
    <w:p w14:paraId="4D88BCBD" w14:textId="77777777" w:rsidR="00EC6EDE" w:rsidRPr="00C13FB4" w:rsidRDefault="00EC6EDE" w:rsidP="00EC6EDE">
      <w:pPr>
        <w:pStyle w:val="Rponse"/>
        <w:rPr>
          <w:rFonts w:ascii="Comic Sans MS" w:hAnsi="Comic Sans MS"/>
          <w:spacing w:val="-2"/>
          <w:sz w:val="20"/>
          <w:szCs w:val="20"/>
          <w:lang w:val="fr-FR"/>
        </w:rPr>
      </w:pPr>
    </w:p>
    <w:p w14:paraId="11BD8397" w14:textId="77777777" w:rsidR="00EC6EDE" w:rsidRPr="00C13FB4" w:rsidRDefault="00EC6EDE" w:rsidP="00EC6EDE">
      <w:pPr>
        <w:pStyle w:val="Rponse"/>
        <w:rPr>
          <w:rFonts w:ascii="Comic Sans MS" w:hAnsi="Comic Sans MS"/>
          <w:b/>
          <w:spacing w:val="-2"/>
          <w:sz w:val="20"/>
          <w:szCs w:val="20"/>
          <w:lang w:val="fr-FR"/>
        </w:rPr>
      </w:pPr>
      <w:r w:rsidRPr="00C13FB4">
        <w:rPr>
          <w:rFonts w:ascii="Comic Sans MS" w:hAnsi="Comic Sans MS"/>
          <w:b/>
          <w:spacing w:val="-2"/>
          <w:sz w:val="20"/>
          <w:szCs w:val="20"/>
          <w:lang w:val="fr-FR"/>
        </w:rPr>
        <w:t>La baisse des coûts permet souvent d’améliorer la profitabilité 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69"/>
        <w:gridCol w:w="3969"/>
        <w:gridCol w:w="2834"/>
      </w:tblGrid>
      <w:tr w:rsidR="00EC6EDE" w:rsidRPr="00C13FB4" w14:paraId="7C7BB1CE" w14:textId="77777777" w:rsidTr="005C6AD5">
        <w:trPr>
          <w:trHeight w:val="20"/>
          <w:jc w:val="center"/>
        </w:trPr>
        <w:tc>
          <w:tcPr>
            <w:tcW w:w="2269" w:type="dxa"/>
            <w:shd w:val="clear" w:color="auto" w:fill="auto"/>
          </w:tcPr>
          <w:p w14:paraId="2E6E0508" w14:textId="77777777" w:rsidR="00EC6EDE" w:rsidRPr="00C13FB4" w:rsidRDefault="00EC6EDE" w:rsidP="005C6AD5">
            <w:pPr>
              <w:pStyle w:val="Rponse"/>
              <w:jc w:val="center"/>
              <w:rPr>
                <w:rFonts w:ascii="Comic Sans MS" w:hAnsi="Comic Sans MS"/>
                <w:b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b/>
                <w:sz w:val="20"/>
                <w:szCs w:val="20"/>
                <w:lang w:val="fr-FR"/>
              </w:rPr>
              <w:t>Arguments</w:t>
            </w:r>
          </w:p>
        </w:tc>
        <w:tc>
          <w:tcPr>
            <w:tcW w:w="3969" w:type="dxa"/>
            <w:shd w:val="clear" w:color="auto" w:fill="auto"/>
          </w:tcPr>
          <w:p w14:paraId="4DC3E131" w14:textId="77777777" w:rsidR="00EC6EDE" w:rsidRPr="00C13FB4" w:rsidRDefault="00EC6EDE" w:rsidP="005C6AD5">
            <w:pPr>
              <w:pStyle w:val="Rponse"/>
              <w:jc w:val="center"/>
              <w:rPr>
                <w:rFonts w:ascii="Comic Sans MS" w:hAnsi="Comic Sans MS"/>
                <w:b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b/>
                <w:sz w:val="20"/>
                <w:szCs w:val="20"/>
                <w:lang w:val="fr-FR"/>
              </w:rPr>
              <w:t>Explications</w:t>
            </w:r>
          </w:p>
        </w:tc>
        <w:tc>
          <w:tcPr>
            <w:tcW w:w="2834" w:type="dxa"/>
            <w:shd w:val="clear" w:color="auto" w:fill="auto"/>
          </w:tcPr>
          <w:p w14:paraId="6EA2F41B" w14:textId="77777777" w:rsidR="00EC6EDE" w:rsidRPr="00C13FB4" w:rsidRDefault="00EC6EDE" w:rsidP="005C6AD5">
            <w:pPr>
              <w:pStyle w:val="Rponse"/>
              <w:jc w:val="center"/>
              <w:rPr>
                <w:rFonts w:ascii="Comic Sans MS" w:hAnsi="Comic Sans MS"/>
                <w:b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b/>
                <w:sz w:val="20"/>
                <w:szCs w:val="20"/>
                <w:lang w:val="fr-FR"/>
              </w:rPr>
              <w:t>Illustrations</w:t>
            </w:r>
          </w:p>
        </w:tc>
      </w:tr>
      <w:tr w:rsidR="00EC6EDE" w:rsidRPr="00C13FB4" w14:paraId="5FA72118" w14:textId="77777777" w:rsidTr="005C6AD5">
        <w:trPr>
          <w:jc w:val="center"/>
        </w:trPr>
        <w:tc>
          <w:tcPr>
            <w:tcW w:w="2269" w:type="dxa"/>
            <w:shd w:val="clear" w:color="auto" w:fill="auto"/>
          </w:tcPr>
          <w:p w14:paraId="306131BC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Baisser les charges permet d’améliorer le résultat.</w:t>
            </w:r>
          </w:p>
        </w:tc>
        <w:tc>
          <w:tcPr>
            <w:tcW w:w="3969" w:type="dxa"/>
            <w:shd w:val="clear" w:color="auto" w:fill="auto"/>
          </w:tcPr>
          <w:p w14:paraId="1BBDC38E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Le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 résultat comptable correspond à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la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différence entre les produits et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les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charges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.</w:t>
            </w:r>
          </w:p>
        </w:tc>
        <w:tc>
          <w:tcPr>
            <w:tcW w:w="2834" w:type="dxa"/>
            <w:shd w:val="clear" w:color="auto" w:fill="auto"/>
          </w:tcPr>
          <w:p w14:paraId="5A03D249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Chercher un fournisseur proposant des produits moins coûteux, réduire la masse salariale, réduire le budget publicitaire auraient donc un effet immédiat à la hausse sur le résultat comptable.</w:t>
            </w:r>
          </w:p>
        </w:tc>
      </w:tr>
      <w:tr w:rsidR="00EC6EDE" w:rsidRPr="00C13FB4" w14:paraId="313BF68A" w14:textId="77777777" w:rsidTr="005C6AD5">
        <w:trPr>
          <w:jc w:val="center"/>
        </w:trPr>
        <w:tc>
          <w:tcPr>
            <w:tcW w:w="2269" w:type="dxa"/>
            <w:shd w:val="clear" w:color="auto" w:fill="auto"/>
          </w:tcPr>
          <w:p w14:paraId="29AD891C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</w:rPr>
              <w:t>L’évolution de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la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profitabilité de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l’entreprise dépend bien souvent de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l’évolution des coûts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0171C686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</w:rPr>
            </w:pPr>
            <w:r w:rsidRPr="00C13FB4">
              <w:rPr>
                <w:rFonts w:ascii="Comic Sans MS" w:hAnsi="Comic Sans MS"/>
                <w:sz w:val="20"/>
                <w:szCs w:val="20"/>
              </w:rPr>
              <w:t>Lorsque le chiffre d’affaires augmente et que les coûts restent stables, la profitabilité s’améliore. Mais lorsque le chiffre d’affaires est stable, voir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e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 en baisse, le réflexe est de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baisser les coûts pour maintenir la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profitabilité.</w:t>
            </w:r>
          </w:p>
        </w:tc>
        <w:tc>
          <w:tcPr>
            <w:tcW w:w="2834" w:type="dxa"/>
            <w:shd w:val="clear" w:color="auto" w:fill="auto"/>
          </w:tcPr>
          <w:p w14:paraId="04D9C3DF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pacing w:val="-2"/>
                <w:sz w:val="20"/>
                <w:szCs w:val="20"/>
                <w:lang w:val="fr-FR"/>
              </w:rPr>
              <w:t>En période de crise économique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, les entreprises voient parfois leur CA baisser. Elles procèdent alors à une réduction des coûts pour maintenir un objectif de profitabilité.</w:t>
            </w:r>
          </w:p>
        </w:tc>
      </w:tr>
      <w:tr w:rsidR="00EC6EDE" w:rsidRPr="00C13FB4" w14:paraId="4F3FAA01" w14:textId="77777777" w:rsidTr="005C6AD5">
        <w:trPr>
          <w:jc w:val="center"/>
        </w:trPr>
        <w:tc>
          <w:tcPr>
            <w:tcW w:w="2269" w:type="dxa"/>
            <w:shd w:val="clear" w:color="auto" w:fill="auto"/>
          </w:tcPr>
          <w:p w14:paraId="646DD7C4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</w:rPr>
              <w:t xml:space="preserve">Mais l’entreprise ne peut </w:t>
            </w:r>
            <w:r w:rsidRPr="00C13FB4">
              <w:rPr>
                <w:rFonts w:ascii="Comic Sans MS" w:hAnsi="Comic Sans MS"/>
                <w:spacing w:val="-2"/>
                <w:sz w:val="20"/>
                <w:szCs w:val="20"/>
              </w:rPr>
              <w:t>pas agir sur tous les coûts</w:t>
            </w:r>
            <w:r w:rsidRPr="00C13FB4">
              <w:rPr>
                <w:rFonts w:ascii="Comic Sans MS" w:hAnsi="Comic Sans MS"/>
                <w:spacing w:val="-2"/>
                <w:sz w:val="20"/>
                <w:szCs w:val="20"/>
                <w:lang w:val="fr-FR"/>
              </w:rPr>
              <w:t>.</w:t>
            </w:r>
          </w:p>
          <w:p w14:paraId="64FB6DA1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 xml:space="preserve">Bien souvent, les charges </w:t>
            </w:r>
            <w:r w:rsidRPr="00C13FB4">
              <w:rPr>
                <w:rFonts w:ascii="Comic Sans MS" w:hAnsi="Comic Sans MS"/>
                <w:spacing w:val="-2"/>
                <w:sz w:val="20"/>
                <w:szCs w:val="20"/>
                <w:lang w:val="fr-FR"/>
              </w:rPr>
              <w:t>de personnel sont la seule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 xml:space="preserve"> variable d’ajustement.</w:t>
            </w:r>
          </w:p>
        </w:tc>
        <w:tc>
          <w:tcPr>
            <w:tcW w:w="3969" w:type="dxa"/>
            <w:shd w:val="clear" w:color="auto" w:fill="auto"/>
          </w:tcPr>
          <w:p w14:paraId="1CA99F8B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 xml:space="preserve">L’entreprise </w:t>
            </w:r>
            <w:r w:rsidRPr="00C13FB4">
              <w:rPr>
                <w:rFonts w:ascii="Comic Sans MS" w:hAnsi="Comic Sans MS"/>
                <w:sz w:val="20"/>
                <w:szCs w:val="20"/>
              </w:rPr>
              <w:t>aura du mal à agir auprès des administrations pour négocier les taux d’impôt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s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 (!),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Pr="00C13FB4">
              <w:rPr>
                <w:rFonts w:ascii="Comic Sans MS" w:hAnsi="Comic Sans MS"/>
                <w:sz w:val="20"/>
                <w:szCs w:val="20"/>
              </w:rPr>
              <w:t>des établissements financiers dont elle dépend pour obtenir des ressources financières, parfois des fournisseurs si elle n’est pas en position de force…</w:t>
            </w:r>
          </w:p>
        </w:tc>
        <w:tc>
          <w:tcPr>
            <w:tcW w:w="2834" w:type="dxa"/>
            <w:shd w:val="clear" w:color="auto" w:fill="auto"/>
          </w:tcPr>
          <w:p w14:paraId="325A5A1C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Les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 charges de personnel représente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nt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 un coût important pour l’entreprise 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 xml:space="preserve">(parfois 10 à 30 % du chiffre d’affaires) </w:t>
            </w:r>
            <w:r w:rsidRPr="00C13FB4">
              <w:rPr>
                <w:rFonts w:ascii="Comic Sans MS" w:hAnsi="Comic Sans MS"/>
                <w:sz w:val="20"/>
                <w:szCs w:val="20"/>
              </w:rPr>
              <w:t>et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donc des gains potentiels intéressants.</w:t>
            </w:r>
          </w:p>
        </w:tc>
      </w:tr>
    </w:tbl>
    <w:p w14:paraId="5869CD4A" w14:textId="77777777" w:rsidR="00EC6EDE" w:rsidRPr="00C13FB4" w:rsidRDefault="00EC6EDE" w:rsidP="00EC6EDE">
      <w:pPr>
        <w:pStyle w:val="Rponse"/>
        <w:rPr>
          <w:rFonts w:ascii="Comic Sans MS" w:hAnsi="Comic Sans MS"/>
          <w:b/>
          <w:sz w:val="20"/>
          <w:szCs w:val="20"/>
          <w:lang w:val="fr-FR"/>
        </w:rPr>
      </w:pPr>
      <w:r w:rsidRPr="00C13FB4">
        <w:rPr>
          <w:rFonts w:ascii="Comic Sans MS" w:hAnsi="Comic Sans MS"/>
          <w:b/>
          <w:sz w:val="20"/>
          <w:szCs w:val="20"/>
        </w:rPr>
        <w:t xml:space="preserve">Mais cette baisse des coûts </w:t>
      </w:r>
      <w:r w:rsidRPr="00C13FB4">
        <w:rPr>
          <w:rFonts w:ascii="Comic Sans MS" w:hAnsi="Comic Sans MS"/>
          <w:b/>
          <w:sz w:val="20"/>
          <w:szCs w:val="20"/>
          <w:lang w:val="fr-FR"/>
        </w:rPr>
        <w:t>peut avoir des</w:t>
      </w:r>
      <w:r w:rsidRPr="00C13FB4">
        <w:rPr>
          <w:rFonts w:ascii="Comic Sans MS" w:hAnsi="Comic Sans MS"/>
          <w:b/>
          <w:sz w:val="20"/>
          <w:szCs w:val="20"/>
        </w:rPr>
        <w:t xml:space="preserve"> effets pervers à plus long terme </w:t>
      </w:r>
      <w:r w:rsidRPr="00C13FB4">
        <w:rPr>
          <w:rFonts w:ascii="Comic Sans MS" w:hAnsi="Comic Sans MS"/>
          <w:b/>
          <w:sz w:val="20"/>
          <w:szCs w:val="20"/>
          <w:lang w:val="fr-FR"/>
        </w:rPr>
        <w:t>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69"/>
        <w:gridCol w:w="3969"/>
        <w:gridCol w:w="2834"/>
      </w:tblGrid>
      <w:tr w:rsidR="00EC6EDE" w:rsidRPr="00C13FB4" w14:paraId="714E29B5" w14:textId="77777777" w:rsidTr="005C6AD5">
        <w:trPr>
          <w:trHeight w:val="20"/>
          <w:jc w:val="center"/>
        </w:trPr>
        <w:tc>
          <w:tcPr>
            <w:tcW w:w="2269" w:type="dxa"/>
            <w:shd w:val="clear" w:color="auto" w:fill="auto"/>
          </w:tcPr>
          <w:p w14:paraId="6DF5836B" w14:textId="77777777" w:rsidR="00EC6EDE" w:rsidRPr="00C13FB4" w:rsidRDefault="00EC6EDE" w:rsidP="005C6AD5">
            <w:pPr>
              <w:pStyle w:val="Rponse"/>
              <w:jc w:val="center"/>
              <w:rPr>
                <w:rFonts w:ascii="Comic Sans MS" w:hAnsi="Comic Sans MS"/>
                <w:b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b/>
                <w:sz w:val="20"/>
                <w:szCs w:val="20"/>
                <w:lang w:val="fr-FR"/>
              </w:rPr>
              <w:lastRenderedPageBreak/>
              <w:t>Arguments</w:t>
            </w:r>
          </w:p>
        </w:tc>
        <w:tc>
          <w:tcPr>
            <w:tcW w:w="3969" w:type="dxa"/>
            <w:shd w:val="clear" w:color="auto" w:fill="auto"/>
          </w:tcPr>
          <w:p w14:paraId="7EBFA384" w14:textId="77777777" w:rsidR="00EC6EDE" w:rsidRPr="00C13FB4" w:rsidRDefault="00EC6EDE" w:rsidP="005C6AD5">
            <w:pPr>
              <w:pStyle w:val="Rponse"/>
              <w:jc w:val="center"/>
              <w:rPr>
                <w:rFonts w:ascii="Comic Sans MS" w:hAnsi="Comic Sans MS"/>
                <w:b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b/>
                <w:sz w:val="20"/>
                <w:szCs w:val="20"/>
                <w:lang w:val="fr-FR"/>
              </w:rPr>
              <w:t>Explications</w:t>
            </w:r>
          </w:p>
        </w:tc>
        <w:tc>
          <w:tcPr>
            <w:tcW w:w="2834" w:type="dxa"/>
            <w:shd w:val="clear" w:color="auto" w:fill="auto"/>
          </w:tcPr>
          <w:p w14:paraId="18F104B4" w14:textId="77777777" w:rsidR="00EC6EDE" w:rsidRPr="00C13FB4" w:rsidRDefault="00EC6EDE" w:rsidP="005C6AD5">
            <w:pPr>
              <w:pStyle w:val="Rponse"/>
              <w:jc w:val="center"/>
              <w:rPr>
                <w:rFonts w:ascii="Comic Sans MS" w:hAnsi="Comic Sans MS"/>
                <w:b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b/>
                <w:sz w:val="20"/>
                <w:szCs w:val="20"/>
                <w:lang w:val="fr-FR"/>
              </w:rPr>
              <w:t>Illustrations</w:t>
            </w:r>
          </w:p>
        </w:tc>
      </w:tr>
      <w:tr w:rsidR="00EC6EDE" w:rsidRPr="00C13FB4" w14:paraId="57B7168B" w14:textId="77777777" w:rsidTr="005C6AD5">
        <w:trPr>
          <w:jc w:val="center"/>
        </w:trPr>
        <w:tc>
          <w:tcPr>
            <w:tcW w:w="2269" w:type="dxa"/>
            <w:shd w:val="clear" w:color="auto" w:fill="auto"/>
          </w:tcPr>
          <w:p w14:paraId="5EA2E70F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Réduire les salaires peut avoir des effets négatifs à long terme sur la profitabilité de l’entreprise.</w:t>
            </w:r>
          </w:p>
        </w:tc>
        <w:tc>
          <w:tcPr>
            <w:tcW w:w="3969" w:type="dxa"/>
            <w:shd w:val="clear" w:color="auto" w:fill="auto"/>
          </w:tcPr>
          <w:p w14:paraId="2A871047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La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 performance sociale interagit sur la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performance financière de l’entreprise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.</w:t>
            </w:r>
          </w:p>
          <w:p w14:paraId="1A8847DD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Une performance sociale en baisse entraîne une performance financière en baisse.</w:t>
            </w:r>
          </w:p>
        </w:tc>
        <w:tc>
          <w:tcPr>
            <w:tcW w:w="2834" w:type="dxa"/>
            <w:shd w:val="clear" w:color="auto" w:fill="auto"/>
          </w:tcPr>
          <w:p w14:paraId="7939BB7A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La réduction des effectifs risque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 d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 xml:space="preserve">’entraîner une surcharge de travail pour le personnel </w:t>
            </w:r>
            <w:r w:rsidRPr="00C13FB4">
              <w:rPr>
                <w:rFonts w:ascii="Comic Sans MS" w:hAnsi="Comic Sans MS"/>
                <w:sz w:val="20"/>
                <w:szCs w:val="20"/>
              </w:rPr>
              <w:t>restant en place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.</w:t>
            </w:r>
          </w:p>
          <w:p w14:paraId="36DA417D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 xml:space="preserve">Une </w:t>
            </w:r>
            <w:r w:rsidRPr="00C13FB4">
              <w:rPr>
                <w:rFonts w:ascii="Comic Sans MS" w:hAnsi="Comic Sans MS"/>
                <w:sz w:val="20"/>
                <w:szCs w:val="20"/>
              </w:rPr>
              <w:t>baisse des salaires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 xml:space="preserve"> risque de démotiver le personnel qui ne se sent plus reconnu dans son travail.</w:t>
            </w:r>
          </w:p>
          <w:p w14:paraId="6E0F3026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 xml:space="preserve">L’ensemble des mesures de réduction des coûts risque </w:t>
            </w:r>
            <w:r w:rsidRPr="00C13FB4">
              <w:rPr>
                <w:rFonts w:ascii="Comic Sans MS" w:hAnsi="Comic Sans MS"/>
                <w:sz w:val="20"/>
                <w:szCs w:val="20"/>
              </w:rPr>
              <w:t>de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créer un mauvais climat </w:t>
            </w:r>
            <w:r w:rsidRPr="00C13FB4">
              <w:rPr>
                <w:rFonts w:ascii="Comic Sans MS" w:hAnsi="Comic Sans MS"/>
                <w:spacing w:val="-4"/>
                <w:sz w:val="20"/>
                <w:szCs w:val="20"/>
              </w:rPr>
              <w:t xml:space="preserve">social, </w:t>
            </w:r>
            <w:r w:rsidRPr="00C13FB4">
              <w:rPr>
                <w:rFonts w:ascii="Comic Sans MS" w:hAnsi="Comic Sans MS"/>
                <w:spacing w:val="-4"/>
                <w:sz w:val="20"/>
                <w:szCs w:val="20"/>
                <w:lang w:val="fr-FR"/>
              </w:rPr>
              <w:t>de</w:t>
            </w:r>
            <w:r w:rsidRPr="00C13FB4">
              <w:rPr>
                <w:rFonts w:ascii="Comic Sans MS" w:hAnsi="Comic Sans MS"/>
                <w:spacing w:val="-4"/>
                <w:sz w:val="20"/>
                <w:szCs w:val="20"/>
              </w:rPr>
              <w:t xml:space="preserve"> démotiv</w:t>
            </w:r>
            <w:r w:rsidRPr="00C13FB4">
              <w:rPr>
                <w:rFonts w:ascii="Comic Sans MS" w:hAnsi="Comic Sans MS"/>
                <w:spacing w:val="-4"/>
                <w:sz w:val="20"/>
                <w:szCs w:val="20"/>
                <w:lang w:val="fr-FR"/>
              </w:rPr>
              <w:t>er le </w:t>
            </w:r>
            <w:r w:rsidRPr="00C13FB4">
              <w:rPr>
                <w:rFonts w:ascii="Comic Sans MS" w:hAnsi="Comic Sans MS"/>
                <w:spacing w:val="-4"/>
                <w:sz w:val="20"/>
                <w:szCs w:val="20"/>
              </w:rPr>
              <w:t>personnel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,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 et donc 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 xml:space="preserve">d’entraîner 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une baisse des performances. </w:t>
            </w:r>
          </w:p>
        </w:tc>
      </w:tr>
      <w:tr w:rsidR="00EC6EDE" w:rsidRPr="00C13FB4" w14:paraId="765F9AE8" w14:textId="77777777" w:rsidTr="005C6AD5">
        <w:trPr>
          <w:jc w:val="center"/>
        </w:trPr>
        <w:tc>
          <w:tcPr>
            <w:tcW w:w="2269" w:type="dxa"/>
            <w:shd w:val="clear" w:color="auto" w:fill="auto"/>
          </w:tcPr>
          <w:p w14:paraId="25E8AC56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Réduire les coûts peut entraîner une baisse de la qualité ressentie par les clients.</w:t>
            </w:r>
          </w:p>
        </w:tc>
        <w:tc>
          <w:tcPr>
            <w:tcW w:w="3969" w:type="dxa"/>
            <w:shd w:val="clear" w:color="auto" w:fill="auto"/>
          </w:tcPr>
          <w:p w14:paraId="6A2830E9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 xml:space="preserve">Une 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baisse des coûts des matières premières ou 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 xml:space="preserve">des </w:t>
            </w:r>
            <w:r w:rsidRPr="00C13FB4">
              <w:rPr>
                <w:rFonts w:ascii="Comic Sans MS" w:hAnsi="Comic Sans MS"/>
                <w:sz w:val="20"/>
                <w:szCs w:val="20"/>
              </w:rPr>
              <w:t>marchandises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,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 par exemple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,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 implique trop souvent de faire le choix d’une qualité moindre. Les clients sensibles à la relation qualité/prix peuvent se détourner de l’entreprise.</w:t>
            </w:r>
          </w:p>
        </w:tc>
        <w:tc>
          <w:tcPr>
            <w:tcW w:w="2834" w:type="dxa"/>
            <w:shd w:val="clear" w:color="auto" w:fill="auto"/>
          </w:tcPr>
          <w:p w14:paraId="22E95A66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</w:rPr>
              <w:t>M.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Mrugalski, responsable de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l’entreprise Les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 xml:space="preserve"> </w:t>
            </w:r>
            <w:r w:rsidRPr="00C13FB4">
              <w:rPr>
                <w:rFonts w:ascii="Comic Sans MS" w:hAnsi="Comic Sans MS"/>
                <w:sz w:val="20"/>
                <w:szCs w:val="20"/>
              </w:rPr>
              <w:t>Couleurs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,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 a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choisi de renégocier les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conditions d’achat auprès 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de ses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 fournisseurs.</w:t>
            </w:r>
          </w:p>
          <w:p w14:paraId="6D3DC947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</w:rPr>
              <w:t>Cette stratégie a permis d’améliorer immédiatement la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profitabilité de l’entreprise puisque le coût d’achat des marchandises vendues a baissé. Par contre, il faudrait analyser les effets de cette politique à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plus long terme pour voir si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les clients ne se détournent pas d’un produit dont la qualité serait amoindrie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.</w:t>
            </w:r>
          </w:p>
        </w:tc>
      </w:tr>
      <w:tr w:rsidR="00EC6EDE" w:rsidRPr="00C13FB4" w14:paraId="2F3271FC" w14:textId="77777777" w:rsidTr="005C6AD5">
        <w:trPr>
          <w:jc w:val="center"/>
        </w:trPr>
        <w:tc>
          <w:tcPr>
            <w:tcW w:w="2269" w:type="dxa"/>
            <w:shd w:val="clear" w:color="auto" w:fill="auto"/>
          </w:tcPr>
          <w:p w14:paraId="4CC6A8B2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Une</w:t>
            </w:r>
            <w:r w:rsidRPr="00C13FB4">
              <w:rPr>
                <w:rFonts w:ascii="Comic Sans MS" w:hAnsi="Comic Sans MS"/>
                <w:sz w:val="20"/>
                <w:szCs w:val="20"/>
              </w:rPr>
              <w:t xml:space="preserve"> baisse des investissements peut mettre en péril l’entreprise qui ne</w:t>
            </w: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 </w:t>
            </w:r>
            <w:r w:rsidRPr="00C13FB4">
              <w:rPr>
                <w:rFonts w:ascii="Comic Sans MS" w:hAnsi="Comic Sans MS"/>
                <w:sz w:val="20"/>
                <w:szCs w:val="20"/>
              </w:rPr>
              <w:t>renouvelle pas son matériel, qui n’innove plus.</w:t>
            </w:r>
          </w:p>
        </w:tc>
        <w:tc>
          <w:tcPr>
            <w:tcW w:w="3969" w:type="dxa"/>
            <w:shd w:val="clear" w:color="auto" w:fill="auto"/>
          </w:tcPr>
          <w:p w14:paraId="7C429C96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La baisse des investissements permet de réduire les amortissements ou les intérêts bancaires liés à d’éventuels emprunts.</w:t>
            </w:r>
          </w:p>
          <w:p w14:paraId="227E2439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Mais cela signifie aussi que l’entreprise travaille avec un matériel usagé, peut-être moins performant.</w:t>
            </w:r>
          </w:p>
        </w:tc>
        <w:tc>
          <w:tcPr>
            <w:tcW w:w="2834" w:type="dxa"/>
            <w:shd w:val="clear" w:color="auto" w:fill="auto"/>
          </w:tcPr>
          <w:p w14:paraId="5C4070C1" w14:textId="77777777" w:rsidR="00EC6EDE" w:rsidRPr="00C13FB4" w:rsidRDefault="00EC6EDE" w:rsidP="005C6AD5">
            <w:pPr>
              <w:pStyle w:val="Rponse"/>
              <w:jc w:val="left"/>
              <w:rPr>
                <w:rFonts w:ascii="Comic Sans MS" w:hAnsi="Comic Sans MS"/>
                <w:sz w:val="20"/>
                <w:szCs w:val="20"/>
                <w:lang w:val="fr-FR"/>
              </w:rPr>
            </w:pPr>
            <w:r w:rsidRPr="00C13FB4">
              <w:rPr>
                <w:rFonts w:ascii="Comic Sans MS" w:hAnsi="Comic Sans MS"/>
                <w:sz w:val="20"/>
                <w:szCs w:val="20"/>
                <w:lang w:val="fr-FR"/>
              </w:rPr>
              <w:t>Les outils informatiques, par exemple, évoluent très vite et permettent souvent des gains de productivité importants grâce à l’amélioration de la gestion de la base de données ou à la facilitation du travail à distance.</w:t>
            </w:r>
          </w:p>
        </w:tc>
      </w:tr>
    </w:tbl>
    <w:p w14:paraId="3D4B8A2B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</w:p>
    <w:p w14:paraId="16006140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  <w:r w:rsidRPr="00C13FB4">
        <w:rPr>
          <w:rFonts w:ascii="Comic Sans MS" w:hAnsi="Comic Sans MS"/>
          <w:sz w:val="20"/>
          <w:szCs w:val="20"/>
        </w:rPr>
        <w:t>On peut donc voir que réduire les coûts ne permet pas systématiquement d’améliorer la profitabilité de l’entreprise.</w:t>
      </w:r>
    </w:p>
    <w:p w14:paraId="279F8E9F" w14:textId="77777777" w:rsidR="00EC6EDE" w:rsidRPr="00C13FB4" w:rsidRDefault="00EC6EDE" w:rsidP="00EC6EDE">
      <w:pPr>
        <w:pStyle w:val="Rponse"/>
        <w:rPr>
          <w:rFonts w:ascii="Comic Sans MS" w:hAnsi="Comic Sans MS"/>
          <w:sz w:val="20"/>
          <w:szCs w:val="20"/>
        </w:rPr>
      </w:pPr>
    </w:p>
    <w:p w14:paraId="2F2F3058" w14:textId="77777777" w:rsidR="005D3E95" w:rsidRDefault="00EC6EDE" w:rsidP="00EC6EDE">
      <w:r w:rsidRPr="00C13FB4">
        <w:rPr>
          <w:rFonts w:ascii="Comic Sans MS" w:hAnsi="Comic Sans MS"/>
          <w:sz w:val="20"/>
          <w:szCs w:val="20"/>
        </w:rPr>
        <w:t>La difficulté pour le gestionnaire est de choisir entre le court et le long terme. L’esprit d’entreprendre, qui caractérise bien souvent les décideurs, a plutôt tendance à les inciter à prendre des risques et donc à augmenter leurs charges. C’est pourquoi la baisse des coûts correspond bien souvent à une situation subie par un chef d’entreprise qui n’a plus les moyens de prendre des</w:t>
      </w:r>
    </w:p>
    <w:sectPr w:rsidR="005D3E95" w:rsidSect="00EC6EDE">
      <w:pgSz w:w="11906" w:h="16838"/>
      <w:pgMar w:top="624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10995"/>
    <w:multiLevelType w:val="hybridMultilevel"/>
    <w:tmpl w:val="2F38EB9C"/>
    <w:lvl w:ilvl="0" w:tplc="C9BA7DB0">
      <w:start w:val="1"/>
      <w:numFmt w:val="decimal"/>
      <w:pStyle w:val="Question"/>
      <w:lvlText w:val="%1."/>
      <w:lvlJc w:val="left"/>
      <w:pPr>
        <w:ind w:left="64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DE"/>
    <w:rsid w:val="00031235"/>
    <w:rsid w:val="00151D64"/>
    <w:rsid w:val="004670F4"/>
    <w:rsid w:val="009119A7"/>
    <w:rsid w:val="009222B9"/>
    <w:rsid w:val="009C3C80"/>
    <w:rsid w:val="00A15265"/>
    <w:rsid w:val="00A25287"/>
    <w:rsid w:val="00BB0F11"/>
    <w:rsid w:val="00D732D4"/>
    <w:rsid w:val="00DC0C62"/>
    <w:rsid w:val="00E6663A"/>
    <w:rsid w:val="00EA0F98"/>
    <w:rsid w:val="00EC6EDE"/>
    <w:rsid w:val="00F87DCA"/>
    <w:rsid w:val="00FD04C7"/>
    <w:rsid w:val="00FE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04E4"/>
  <w15:chartTrackingRefBased/>
  <w15:docId w15:val="{8A9C8C2E-5F48-4958-91EF-DAC5E4ED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EDE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fr-FR" w:eastAsia="fr-FR"/>
    </w:rPr>
  </w:style>
  <w:style w:type="paragraph" w:styleId="Titre3">
    <w:name w:val="heading 3"/>
    <w:basedOn w:val="Normal"/>
    <w:next w:val="Normal"/>
    <w:link w:val="Titre3Car1"/>
    <w:qFormat/>
    <w:rsid w:val="00EC6EDE"/>
    <w:pPr>
      <w:keepNext/>
      <w:spacing w:before="240" w:after="200"/>
      <w:ind w:left="357"/>
      <w:outlineLvl w:val="2"/>
    </w:pPr>
    <w:rPr>
      <w:b/>
      <w:bCs/>
      <w:sz w:val="26"/>
      <w:lang w:val="x-none" w:eastAsia="x-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6ED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uiPriority w:val="9"/>
    <w:semiHidden/>
    <w:rsid w:val="00EC6E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/>
    </w:rPr>
  </w:style>
  <w:style w:type="character" w:customStyle="1" w:styleId="Titre3Car1">
    <w:name w:val="Titre 3 Car1"/>
    <w:link w:val="Titre3"/>
    <w:locked/>
    <w:rsid w:val="00EC6EDE"/>
    <w:rPr>
      <w:rFonts w:ascii="Times New Roman" w:eastAsia="Times New Roman" w:hAnsi="Times New Roman" w:cs="Times New Roman"/>
      <w:b/>
      <w:bCs/>
      <w:sz w:val="26"/>
      <w:szCs w:val="24"/>
      <w:lang w:val="x-none" w:eastAsia="x-none"/>
    </w:rPr>
  </w:style>
  <w:style w:type="paragraph" w:customStyle="1" w:styleId="titrerubrique">
    <w:name w:val="titre rubrique"/>
    <w:basedOn w:val="Titre5"/>
    <w:rsid w:val="00EC6EDE"/>
    <w:pPr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 w:after="240"/>
      <w:ind w:left="113" w:right="113"/>
      <w:jc w:val="left"/>
    </w:pPr>
    <w:rPr>
      <w:rFonts w:ascii="Times New Roman" w:eastAsia="Times New Roman" w:hAnsi="Times New Roman" w:cs="Times New Roman"/>
      <w:b/>
      <w:bCs/>
      <w:color w:val="auto"/>
      <w:sz w:val="32"/>
      <w:szCs w:val="32"/>
    </w:rPr>
  </w:style>
  <w:style w:type="paragraph" w:customStyle="1" w:styleId="Question">
    <w:name w:val="Question"/>
    <w:next w:val="Rponse"/>
    <w:link w:val="QuestionCar"/>
    <w:rsid w:val="00EC6EDE"/>
    <w:pPr>
      <w:numPr>
        <w:numId w:val="1"/>
      </w:numPr>
      <w:spacing w:before="160" w:after="40" w:line="240" w:lineRule="auto"/>
      <w:ind w:left="714" w:hanging="357"/>
    </w:pPr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QuestionCar">
    <w:name w:val="Question Car"/>
    <w:link w:val="Question"/>
    <w:rsid w:val="00EC6EDE"/>
    <w:rPr>
      <w:rFonts w:ascii="Times New Roman" w:eastAsia="Times New Roman" w:hAnsi="Times New Roman" w:cs="Times New Roman"/>
      <w:b/>
      <w:bCs/>
      <w:lang w:val="fr-FR" w:eastAsia="fr-FR"/>
    </w:rPr>
  </w:style>
  <w:style w:type="paragraph" w:customStyle="1" w:styleId="Rponse">
    <w:name w:val="Réponse"/>
    <w:basedOn w:val="Normal"/>
    <w:link w:val="RponseCar"/>
    <w:qFormat/>
    <w:rsid w:val="00EC6EDE"/>
    <w:rPr>
      <w:szCs w:val="22"/>
      <w:lang w:val="x-none" w:eastAsia="x-none"/>
    </w:rPr>
  </w:style>
  <w:style w:type="character" w:customStyle="1" w:styleId="RponseCar">
    <w:name w:val="Réponse Car"/>
    <w:link w:val="Rponse"/>
    <w:rsid w:val="00EC6EDE"/>
    <w:rPr>
      <w:rFonts w:ascii="Times New Roman" w:eastAsia="Times New Roman" w:hAnsi="Times New Roman" w:cs="Times New Roman"/>
      <w:lang w:val="x-none" w:eastAsia="x-none"/>
    </w:rPr>
  </w:style>
  <w:style w:type="character" w:customStyle="1" w:styleId="Titre5Car">
    <w:name w:val="Titre 5 Car"/>
    <w:basedOn w:val="Policepardfaut"/>
    <w:link w:val="Titre5"/>
    <w:uiPriority w:val="9"/>
    <w:semiHidden/>
    <w:rsid w:val="00EC6EDE"/>
    <w:rPr>
      <w:rFonts w:asciiTheme="majorHAnsi" w:eastAsiaTheme="majorEastAsia" w:hAnsiTheme="majorHAnsi" w:cstheme="majorBidi"/>
      <w:color w:val="2F5496" w:themeColor="accent1" w:themeShade="BF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9107037785748BCC9E9F2224A278D" ma:contentTypeVersion="2" ma:contentTypeDescription="Crée un document." ma:contentTypeScope="" ma:versionID="a57ce792c7a5f33fdeb768d790cc9692">
  <xsd:schema xmlns:xsd="http://www.w3.org/2001/XMLSchema" xmlns:xs="http://www.w3.org/2001/XMLSchema" xmlns:p="http://schemas.microsoft.com/office/2006/metadata/properties" xmlns:ns2="beac1d08-5346-4157-8f0a-d5a6a0fc2d7e" targetNamespace="http://schemas.microsoft.com/office/2006/metadata/properties" ma:root="true" ma:fieldsID="d042d317323377a2fb7099e3d0684c42" ns2:_="">
    <xsd:import namespace="beac1d08-5346-4157-8f0a-d5a6a0fc2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c1d08-5346-4157-8f0a-d5a6a0fc2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D92DE6-4860-41BE-AB23-FDD984BE662C}"/>
</file>

<file path=customXml/itemProps2.xml><?xml version="1.0" encoding="utf-8"?>
<ds:datastoreItem xmlns:ds="http://schemas.openxmlformats.org/officeDocument/2006/customXml" ds:itemID="{7D56A873-38AC-4828-8566-CCA223B9B489}"/>
</file>

<file path=customXml/itemProps3.xml><?xml version="1.0" encoding="utf-8"?>
<ds:datastoreItem xmlns:ds="http://schemas.openxmlformats.org/officeDocument/2006/customXml" ds:itemID="{4564F122-0D89-4E2D-843C-07AB3F2607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1701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Masini</dc:creator>
  <cp:keywords/>
  <dc:description/>
  <cp:lastModifiedBy>Cathy Masini</cp:lastModifiedBy>
  <cp:revision>6</cp:revision>
  <dcterms:created xsi:type="dcterms:W3CDTF">2017-11-24T11:59:00Z</dcterms:created>
  <dcterms:modified xsi:type="dcterms:W3CDTF">2020-11-24T09:56:00Z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0x0101004B89107037785748BCC9E9F2224A278D</vt:lpwstr>
  </property>
</Properties>
</file>