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tabs>
          <w:tab w:val="left" w:pos="5103"/>
        </w:tabs>
        <w:ind w:left="20" w:firstLine="0"/>
        <w:jc w:val="center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BALANCE ET PCG</w: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A partir de la balance des comptes suivantes en K€, </w:t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1) Numéroter les comptes </w:t>
      </w:r>
    </w:p>
    <w:p w:rsidR="00000000" w:rsidDel="00000000" w:rsidP="00000000" w:rsidRDefault="00000000" w:rsidRPr="00000000" w14:paraId="00000005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2) Etablir le Compte de résultat</w:t>
      </w:r>
    </w:p>
    <w:p w:rsidR="00000000" w:rsidDel="00000000" w:rsidP="00000000" w:rsidRDefault="00000000" w:rsidRPr="00000000" w14:paraId="00000006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3) Etablir le bilan</w:t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Le compte de résultat fera apparaître les différents résultats intermédiaires et vous montrerez que l’on retrouve le résultat d’exercice.</w:t>
      </w:r>
    </w:p>
    <w:p w:rsidR="00000000" w:rsidDel="00000000" w:rsidP="00000000" w:rsidRDefault="00000000" w:rsidRPr="00000000" w14:paraId="00000008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3.999999999998" w:type="dxa"/>
        <w:jc w:val="left"/>
        <w:tblLayout w:type="fixed"/>
        <w:tblLook w:val="0000"/>
      </w:tblPr>
      <w:tblGrid>
        <w:gridCol w:w="1418"/>
        <w:gridCol w:w="4820"/>
        <w:gridCol w:w="1418"/>
        <w:gridCol w:w="1638"/>
        <w:tblGridChange w:id="0">
          <w:tblGrid>
            <w:gridCol w:w="1418"/>
            <w:gridCol w:w="4820"/>
            <w:gridCol w:w="1418"/>
            <w:gridCol w:w="1638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NUMÉRO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INTITULE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SOLDES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DÉBITEUR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CRÉDITEUR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Capital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1 200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Emprunts auprès des établissements de crédit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500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Bâtiments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Installations techniques. Matériel et Outillage.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2182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Matériel de transport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2183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Matériel de bureau et informatique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2813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Amortissements des bâtiments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150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28151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Amortissement Installations techniques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28152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Amortissement Matériel de transport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28153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Amortissement Mat. de bureau et informatique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Stock de matières premières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Stock de produits finis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3955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Provision pour dépréciation stock Produits Finis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Fournisseurs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99</w:t>
            </w:r>
          </w:p>
        </w:tc>
      </w:tr>
      <w:tr>
        <w:trPr>
          <w:cantSplit w:val="1"/>
          <w:trHeight w:val="916.40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Clients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Banque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Caisse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6012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Achats de matières premières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393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6031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Variation stock Matières Premières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Achats de fournitures consommables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60225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Achats de fournitures administratives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Locations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Primes d'assurances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Publicité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Impôts, taxes et versements assimilés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Rémunérations du personnel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6815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Dotations aux amortissements et provisions d'exploitation.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661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Charges d'intérêts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Valeur comptable des éléments d'actifs cédés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6875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Dotations aux provisions exceptionnelles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Ventes de produits finis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795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Production stockée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Revenus des autres créances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Produits de cession d'éléments d'actifs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B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2 918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C">
            <w:pPr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2 918</w:t>
            </w:r>
          </w:p>
        </w:tc>
      </w:tr>
    </w:tbl>
    <w:p w:rsidR="00000000" w:rsidDel="00000000" w:rsidP="00000000" w:rsidRDefault="00000000" w:rsidRPr="00000000" w14:paraId="0000009D">
      <w:pPr>
        <w:pStyle w:val="Heading1"/>
        <w:tabs>
          <w:tab w:val="left" w:pos="280"/>
          <w:tab w:val="left" w:pos="2835"/>
          <w:tab w:val="left" w:pos="4800"/>
          <w:tab w:val="right" w:pos="8780"/>
        </w:tabs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tabs>
          <w:tab w:val="left" w:pos="280"/>
          <w:tab w:val="left" w:pos="2835"/>
          <w:tab w:val="left" w:pos="4800"/>
          <w:tab w:val="right" w:pos="8780"/>
        </w:tabs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tabs>
          <w:tab w:val="left" w:pos="280"/>
          <w:tab w:val="left" w:pos="2835"/>
          <w:tab w:val="left" w:pos="4800"/>
          <w:tab w:val="right" w:pos="8780"/>
        </w:tabs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tabs>
          <w:tab w:val="left" w:pos="280"/>
          <w:tab w:val="left" w:pos="2835"/>
          <w:tab w:val="left" w:pos="4800"/>
          <w:tab w:val="right" w:pos="8780"/>
        </w:tabs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tabs>
          <w:tab w:val="left" w:pos="280"/>
          <w:tab w:val="left" w:pos="2835"/>
          <w:tab w:val="left" w:pos="4800"/>
          <w:tab w:val="right" w:pos="8780"/>
        </w:tabs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tabs>
          <w:tab w:val="left" w:pos="280"/>
          <w:tab w:val="left" w:pos="2835"/>
          <w:tab w:val="left" w:pos="4800"/>
          <w:tab w:val="right" w:pos="8780"/>
        </w:tabs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tabs>
          <w:tab w:val="left" w:pos="280"/>
          <w:tab w:val="left" w:pos="2835"/>
          <w:tab w:val="left" w:pos="4800"/>
          <w:tab w:val="right" w:pos="8780"/>
        </w:tabs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tabs>
          <w:tab w:val="left" w:pos="280"/>
          <w:tab w:val="left" w:pos="2835"/>
          <w:tab w:val="left" w:pos="4800"/>
          <w:tab w:val="right" w:pos="8780"/>
        </w:tabs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tabs>
          <w:tab w:val="left" w:pos="280"/>
          <w:tab w:val="left" w:pos="2835"/>
          <w:tab w:val="left" w:pos="4800"/>
          <w:tab w:val="right" w:pos="8780"/>
        </w:tabs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tabs>
          <w:tab w:val="left" w:pos="280"/>
          <w:tab w:val="left" w:pos="2835"/>
          <w:tab w:val="left" w:pos="4800"/>
          <w:tab w:val="right" w:pos="8780"/>
        </w:tabs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tabs>
          <w:tab w:val="left" w:pos="280"/>
          <w:tab w:val="left" w:pos="2835"/>
          <w:tab w:val="left" w:pos="4800"/>
          <w:tab w:val="right" w:pos="8780"/>
        </w:tabs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tabs>
          <w:tab w:val="left" w:pos="280"/>
          <w:tab w:val="left" w:pos="2835"/>
          <w:tab w:val="left" w:pos="4800"/>
          <w:tab w:val="right" w:pos="8780"/>
        </w:tabs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tabs>
          <w:tab w:val="left" w:pos="280"/>
          <w:tab w:val="left" w:pos="2835"/>
          <w:tab w:val="left" w:pos="4800"/>
          <w:tab w:val="right" w:pos="8780"/>
        </w:tabs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tabs>
          <w:tab w:val="left" w:pos="280"/>
          <w:tab w:val="left" w:pos="2835"/>
          <w:tab w:val="left" w:pos="4800"/>
          <w:tab w:val="right" w:pos="8780"/>
        </w:tabs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tabs>
          <w:tab w:val="left" w:pos="280"/>
          <w:tab w:val="left" w:pos="2835"/>
          <w:tab w:val="left" w:pos="4800"/>
          <w:tab w:val="right" w:pos="8780"/>
        </w:tabs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tabs>
          <w:tab w:val="left" w:pos="280"/>
          <w:tab w:val="left" w:pos="2835"/>
          <w:tab w:val="left" w:pos="4800"/>
          <w:tab w:val="right" w:pos="8780"/>
        </w:tabs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tabs>
          <w:tab w:val="left" w:pos="280"/>
          <w:tab w:val="left" w:pos="2835"/>
          <w:tab w:val="left" w:pos="4800"/>
          <w:tab w:val="right" w:pos="8780"/>
        </w:tabs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tabs>
          <w:tab w:val="left" w:pos="280"/>
          <w:tab w:val="left" w:pos="2835"/>
          <w:tab w:val="left" w:pos="4800"/>
          <w:tab w:val="right" w:pos="8780"/>
        </w:tabs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tabs>
          <w:tab w:val="left" w:pos="280"/>
          <w:tab w:val="left" w:pos="2835"/>
          <w:tab w:val="left" w:pos="4800"/>
          <w:tab w:val="right" w:pos="8780"/>
        </w:tabs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tabs>
          <w:tab w:val="left" w:pos="280"/>
          <w:tab w:val="left" w:pos="2835"/>
          <w:tab w:val="left" w:pos="4800"/>
          <w:tab w:val="right" w:pos="8780"/>
        </w:tabs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tabs>
          <w:tab w:val="left" w:pos="280"/>
          <w:tab w:val="left" w:pos="2835"/>
          <w:tab w:val="left" w:pos="4800"/>
          <w:tab w:val="right" w:pos="8780"/>
        </w:tabs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DÉBIT</w:t>
        <w:tab/>
        <w:t xml:space="preserve">COMPTE DE RÉSULTAT N</w:t>
        <w:tab/>
        <w:t xml:space="preserve">CRÉDIT</w:t>
      </w:r>
    </w:p>
    <w:tbl>
      <w:tblPr>
        <w:tblStyle w:val="Table2"/>
        <w:tblW w:w="9186.0" w:type="dxa"/>
        <w:jc w:val="left"/>
        <w:tblLayout w:type="fixed"/>
        <w:tblLook w:val="0000"/>
      </w:tblPr>
      <w:tblGrid>
        <w:gridCol w:w="3165"/>
        <w:gridCol w:w="1485"/>
        <w:gridCol w:w="2835"/>
        <w:gridCol w:w="1701"/>
        <w:tblGridChange w:id="0">
          <w:tblGrid>
            <w:gridCol w:w="3165"/>
            <w:gridCol w:w="1485"/>
            <w:gridCol w:w="2835"/>
            <w:gridCol w:w="1701"/>
          </w:tblGrid>
        </w:tblGridChange>
      </w:tblGrid>
      <w:tr>
        <w:trPr>
          <w:cantSplit w:val="1"/>
          <w:trHeight w:val="256.4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Charges d'exploitation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903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Produits d'exploitation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tabs>
                <w:tab w:val="right" w:pos="11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780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Dotations aux amortissements et provisions d'exploitation.</w:t>
            </w:r>
          </w:p>
          <w:p w:rsidR="00000000" w:rsidDel="00000000" w:rsidP="00000000" w:rsidRDefault="00000000" w:rsidRPr="00000000" w14:paraId="000000B7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Achats de matière première</w:t>
            </w:r>
          </w:p>
          <w:p w:rsidR="00000000" w:rsidDel="00000000" w:rsidP="00000000" w:rsidRDefault="00000000" w:rsidRPr="00000000" w14:paraId="000000B9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52</w:t>
            </w:r>
          </w:p>
          <w:p w:rsidR="00000000" w:rsidDel="00000000" w:rsidP="00000000" w:rsidRDefault="00000000" w:rsidRPr="00000000" w14:paraId="000000BB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393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Ventes de produits finis</w:t>
            </w:r>
          </w:p>
          <w:p w:rsidR="00000000" w:rsidDel="00000000" w:rsidP="00000000" w:rsidRDefault="00000000" w:rsidRPr="00000000" w14:paraId="000000BF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Productions stockées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tabs>
                <w:tab w:val="right" w:pos="11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795</w:t>
            </w:r>
          </w:p>
          <w:p w:rsidR="00000000" w:rsidDel="00000000" w:rsidP="00000000" w:rsidRDefault="00000000" w:rsidRPr="00000000" w14:paraId="000000C1">
            <w:pPr>
              <w:tabs>
                <w:tab w:val="right" w:pos="11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-15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Variation stock Matières Premières</w:t>
            </w:r>
          </w:p>
          <w:p w:rsidR="00000000" w:rsidDel="00000000" w:rsidP="00000000" w:rsidRDefault="00000000" w:rsidRPr="00000000" w14:paraId="000000C3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Achats de fournitures consommables</w:t>
            </w:r>
          </w:p>
          <w:p w:rsidR="00000000" w:rsidDel="00000000" w:rsidP="00000000" w:rsidRDefault="00000000" w:rsidRPr="00000000" w14:paraId="000000C5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Achats de fournitures administratives</w:t>
            </w:r>
          </w:p>
          <w:p w:rsidR="00000000" w:rsidDel="00000000" w:rsidP="00000000" w:rsidRDefault="00000000" w:rsidRPr="00000000" w14:paraId="000000C7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Locations</w:t>
            </w:r>
          </w:p>
          <w:p w:rsidR="00000000" w:rsidDel="00000000" w:rsidP="00000000" w:rsidRDefault="00000000" w:rsidRPr="00000000" w14:paraId="000000C9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Primes d'assurances</w:t>
            </w:r>
          </w:p>
          <w:p w:rsidR="00000000" w:rsidDel="00000000" w:rsidP="00000000" w:rsidRDefault="00000000" w:rsidRPr="00000000" w14:paraId="000000CB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CD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D0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D3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D6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58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8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tabs>
                <w:tab w:val="right" w:pos="1100"/>
                <w:tab w:val="left" w:pos="4800"/>
                <w:tab w:val="left" w:pos="7900"/>
                <w:tab w:val="right" w:pos="8040"/>
              </w:tabs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Publicité</w:t>
            </w:r>
          </w:p>
          <w:p w:rsidR="00000000" w:rsidDel="00000000" w:rsidP="00000000" w:rsidRDefault="00000000" w:rsidRPr="00000000" w14:paraId="000000DB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114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D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DE">
            <w:pPr>
              <w:tabs>
                <w:tab w:val="right" w:pos="11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F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Impôts, taxes et versements assimilés</w:t>
            </w:r>
          </w:p>
          <w:p w:rsidR="00000000" w:rsidDel="00000000" w:rsidP="00000000" w:rsidRDefault="00000000" w:rsidRPr="00000000" w14:paraId="000000E0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tabs>
                <w:tab w:val="right" w:pos="11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Rémunérations du personnel</w:t>
            </w:r>
          </w:p>
        </w:tc>
        <w:tc>
          <w:tcPr/>
          <w:p w:rsidR="00000000" w:rsidDel="00000000" w:rsidP="00000000" w:rsidRDefault="00000000" w:rsidRPr="00000000" w14:paraId="000000E5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216</w:t>
            </w:r>
          </w:p>
          <w:p w:rsidR="00000000" w:rsidDel="00000000" w:rsidP="00000000" w:rsidRDefault="00000000" w:rsidRPr="00000000" w14:paraId="000000E6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E8">
            <w:pPr>
              <w:tabs>
                <w:tab w:val="right" w:pos="11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9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Charges financières</w:t>
            </w:r>
          </w:p>
        </w:tc>
        <w:tc>
          <w:tcPr/>
          <w:p w:rsidR="00000000" w:rsidDel="00000000" w:rsidP="00000000" w:rsidRDefault="00000000" w:rsidRPr="00000000" w14:paraId="000000EA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B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Produits financiers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EC">
            <w:pPr>
              <w:tabs>
                <w:tab w:val="right" w:pos="11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33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D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Charges d’intérêts</w:t>
            </w:r>
          </w:p>
        </w:tc>
        <w:tc>
          <w:tcPr/>
          <w:p w:rsidR="00000000" w:rsidDel="00000000" w:rsidP="00000000" w:rsidRDefault="00000000" w:rsidRPr="00000000" w14:paraId="000000EE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F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Revenus des autres créances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F0">
            <w:pPr>
              <w:tabs>
                <w:tab w:val="right" w:pos="11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19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1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3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Produits de cession d'éléments d'actifs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tabs>
                <w:tab w:val="right" w:pos="11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tabs>
                <w:tab w:val="right" w:pos="11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Charges exceptionnelles</w:t>
            </w:r>
          </w:p>
        </w:tc>
        <w:tc>
          <w:tcPr/>
          <w:p w:rsidR="00000000" w:rsidDel="00000000" w:rsidP="00000000" w:rsidRDefault="00000000" w:rsidRPr="00000000" w14:paraId="000000FA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Produits exceptionnels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tabs>
                <w:tab w:val="right" w:pos="11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0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Valeur comptable des éléments d’actifs cédés</w:t>
            </w:r>
          </w:p>
        </w:tc>
        <w:tc>
          <w:tcPr/>
          <w:p w:rsidR="00000000" w:rsidDel="00000000" w:rsidP="00000000" w:rsidRDefault="00000000" w:rsidRPr="00000000" w14:paraId="000000FE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tabs>
                <w:tab w:val="right" w:pos="11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Dotations aux provisions exceptionnelles</w:t>
            </w:r>
          </w:p>
        </w:tc>
        <w:tc>
          <w:tcPr/>
          <w:p w:rsidR="00000000" w:rsidDel="00000000" w:rsidP="00000000" w:rsidRDefault="00000000" w:rsidRPr="00000000" w14:paraId="00000102">
            <w:pPr>
              <w:tabs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04">
            <w:pPr>
              <w:tabs>
                <w:tab w:val="right" w:pos="11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tabs>
          <w:tab w:val="left" w:pos="640"/>
          <w:tab w:val="left" w:pos="840"/>
          <w:tab w:val="left" w:pos="2800"/>
          <w:tab w:val="left" w:pos="4800"/>
          <w:tab w:val="left" w:pos="7900"/>
          <w:tab w:val="right" w:pos="8040"/>
        </w:tabs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Résultat d’exploitation : 780 - 903 = -123</w:t>
      </w:r>
    </w:p>
    <w:p w:rsidR="00000000" w:rsidDel="00000000" w:rsidP="00000000" w:rsidRDefault="00000000" w:rsidRPr="00000000" w14:paraId="00000106">
      <w:pPr>
        <w:tabs>
          <w:tab w:val="left" w:pos="640"/>
          <w:tab w:val="left" w:pos="840"/>
          <w:tab w:val="left" w:pos="2800"/>
          <w:tab w:val="left" w:pos="4800"/>
          <w:tab w:val="left" w:pos="7900"/>
          <w:tab w:val="right" w:pos="8040"/>
        </w:tabs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Résultat financier : 33 - 20 = 13</w:t>
      </w:r>
    </w:p>
    <w:p w:rsidR="00000000" w:rsidDel="00000000" w:rsidP="00000000" w:rsidRDefault="00000000" w:rsidRPr="00000000" w14:paraId="00000107">
      <w:pPr>
        <w:tabs>
          <w:tab w:val="left" w:pos="640"/>
          <w:tab w:val="left" w:pos="840"/>
          <w:tab w:val="left" w:pos="2800"/>
          <w:tab w:val="left" w:pos="4800"/>
          <w:tab w:val="left" w:pos="7900"/>
          <w:tab w:val="right" w:pos="8040"/>
        </w:tabs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Résultat exceptionnel : -12</w:t>
      </w:r>
    </w:p>
    <w:p w:rsidR="00000000" w:rsidDel="00000000" w:rsidP="00000000" w:rsidRDefault="00000000" w:rsidRPr="00000000" w14:paraId="00000108">
      <w:pPr>
        <w:tabs>
          <w:tab w:val="left" w:pos="640"/>
          <w:tab w:val="left" w:pos="840"/>
          <w:tab w:val="left" w:pos="2800"/>
          <w:tab w:val="left" w:pos="4800"/>
          <w:tab w:val="left" w:pos="7900"/>
          <w:tab w:val="right" w:pos="80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pos="640"/>
          <w:tab w:val="left" w:pos="840"/>
          <w:tab w:val="left" w:pos="2800"/>
          <w:tab w:val="left" w:pos="4800"/>
          <w:tab w:val="left" w:pos="7900"/>
          <w:tab w:val="right" w:pos="8040"/>
        </w:tabs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Résultat : 123 + 13 - 12 = -122</w:t>
      </w:r>
    </w:p>
    <w:p w:rsidR="00000000" w:rsidDel="00000000" w:rsidP="00000000" w:rsidRDefault="00000000" w:rsidRPr="00000000" w14:paraId="0000010A">
      <w:pPr>
        <w:tabs>
          <w:tab w:val="left" w:pos="640"/>
          <w:tab w:val="left" w:pos="840"/>
          <w:tab w:val="left" w:pos="2800"/>
          <w:tab w:val="left" w:pos="4800"/>
          <w:tab w:val="left" w:pos="7900"/>
          <w:tab w:val="right" w:pos="80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tabs>
          <w:tab w:val="left" w:pos="640"/>
          <w:tab w:val="left" w:pos="840"/>
          <w:tab w:val="left" w:pos="2800"/>
          <w:tab w:val="left" w:pos="4800"/>
          <w:tab w:val="left" w:pos="7900"/>
          <w:tab w:val="right" w:pos="80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left" w:pos="640"/>
          <w:tab w:val="left" w:pos="840"/>
          <w:tab w:val="left" w:pos="2800"/>
          <w:tab w:val="left" w:pos="4800"/>
          <w:tab w:val="left" w:pos="7900"/>
          <w:tab w:val="right" w:pos="80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pos="640"/>
          <w:tab w:val="left" w:pos="840"/>
          <w:tab w:val="left" w:pos="2800"/>
          <w:tab w:val="left" w:pos="4800"/>
          <w:tab w:val="left" w:pos="7900"/>
          <w:tab w:val="right" w:pos="80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pos="640"/>
          <w:tab w:val="left" w:pos="840"/>
          <w:tab w:val="left" w:pos="2800"/>
          <w:tab w:val="left" w:pos="4800"/>
          <w:tab w:val="left" w:pos="7900"/>
          <w:tab w:val="right" w:pos="80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tabs>
          <w:tab w:val="left" w:pos="640"/>
          <w:tab w:val="left" w:pos="840"/>
          <w:tab w:val="left" w:pos="2800"/>
          <w:tab w:val="left" w:pos="4800"/>
          <w:tab w:val="left" w:pos="7900"/>
          <w:tab w:val="right" w:pos="80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pos="640"/>
          <w:tab w:val="left" w:pos="840"/>
          <w:tab w:val="left" w:pos="2800"/>
          <w:tab w:val="left" w:pos="4800"/>
          <w:tab w:val="left" w:pos="7900"/>
          <w:tab w:val="right" w:pos="80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tabs>
          <w:tab w:val="left" w:pos="640"/>
          <w:tab w:val="left" w:pos="840"/>
          <w:tab w:val="left" w:pos="2800"/>
          <w:tab w:val="left" w:pos="4800"/>
          <w:tab w:val="left" w:pos="7900"/>
          <w:tab w:val="right" w:pos="8040"/>
        </w:tabs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819"/>
          <w:tab w:val="left" w:pos="6820"/>
          <w:tab w:val="right" w:pos="9071"/>
          <w:tab w:val="left" w:pos="640"/>
          <w:tab w:val="left" w:pos="840"/>
          <w:tab w:val="left" w:pos="2977"/>
          <w:tab w:val="left" w:pos="4800"/>
          <w:tab w:val="right" w:pos="886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ACTIF</w:t>
        <w:tab/>
        <w:tab/>
        <w:t xml:space="preserve">BILAN ENT. Au 31/12/N</w:t>
        <w:tab/>
        <w:t xml:space="preserve">PASSIF</w:t>
      </w:r>
    </w:p>
    <w:tbl>
      <w:tblPr>
        <w:tblStyle w:val="Table3"/>
        <w:tblW w:w="9072.0" w:type="dxa"/>
        <w:jc w:val="left"/>
        <w:tblLayout w:type="fixed"/>
        <w:tblLook w:val="0000"/>
      </w:tblPr>
      <w:tblGrid>
        <w:gridCol w:w="2835"/>
        <w:gridCol w:w="1701"/>
        <w:gridCol w:w="2835"/>
        <w:gridCol w:w="1701"/>
        <w:tblGridChange w:id="0">
          <w:tblGrid>
            <w:gridCol w:w="2835"/>
            <w:gridCol w:w="1701"/>
            <w:gridCol w:w="2835"/>
            <w:gridCol w:w="1701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Actif Immobilisé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114">
            <w:pPr>
              <w:tabs>
                <w:tab w:val="right" w:pos="12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1151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5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Capitaux propres</w:t>
            </w:r>
          </w:p>
        </w:tc>
        <w:tc>
          <w:tcPr>
            <w:tcBorders>
              <w:top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Bâtiments</w:t>
            </w:r>
          </w:p>
        </w:tc>
        <w:tc>
          <w:tcPr/>
          <w:p w:rsidR="00000000" w:rsidDel="00000000" w:rsidP="00000000" w:rsidRDefault="00000000" w:rsidRPr="00000000" w14:paraId="00000118">
            <w:pPr>
              <w:tabs>
                <w:tab w:val="center" w:pos="12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600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9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Capital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1200</w:t>
            </w:r>
          </w:p>
        </w:tc>
      </w:tr>
      <w:tr>
        <w:trPr>
          <w:cantSplit w:val="1"/>
          <w:trHeight w:val="467.812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Installations techniques. Matériel et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Outillage.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tabs>
                <w:tab w:val="center" w:pos="12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350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Résultat 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1E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-122</w:t>
            </w:r>
          </w:p>
        </w:tc>
      </w:tr>
      <w:tr>
        <w:trPr>
          <w:cantSplit w:val="1"/>
          <w:trHeight w:val="25.4077148437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F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Matériel de transport</w:t>
            </w:r>
          </w:p>
        </w:tc>
        <w:tc>
          <w:tcPr/>
          <w:p w:rsidR="00000000" w:rsidDel="00000000" w:rsidP="00000000" w:rsidRDefault="00000000" w:rsidRPr="00000000" w14:paraId="00000120">
            <w:pPr>
              <w:tabs>
                <w:tab w:val="center" w:pos="12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420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1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22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Matériel de bureau et informatique</w:t>
            </w:r>
          </w:p>
        </w:tc>
        <w:tc>
          <w:tcPr/>
          <w:p w:rsidR="00000000" w:rsidDel="00000000" w:rsidP="00000000" w:rsidRDefault="00000000" w:rsidRPr="00000000" w14:paraId="00000124">
            <w:pPr>
              <w:tabs>
                <w:tab w:val="center" w:pos="12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78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5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26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7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Amortissement des bâtiments</w:t>
            </w:r>
          </w:p>
        </w:tc>
        <w:tc>
          <w:tcPr/>
          <w:p w:rsidR="00000000" w:rsidDel="00000000" w:rsidP="00000000" w:rsidRDefault="00000000" w:rsidRPr="00000000" w14:paraId="00000128">
            <w:pPr>
              <w:tabs>
                <w:tab w:val="center" w:pos="12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-150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9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B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Amortissement des installations techniques</w:t>
            </w:r>
          </w:p>
        </w:tc>
        <w:tc>
          <w:tcPr/>
          <w:p w:rsidR="00000000" w:rsidDel="00000000" w:rsidP="00000000" w:rsidRDefault="00000000" w:rsidRPr="00000000" w14:paraId="0000012C">
            <w:pPr>
              <w:tabs>
                <w:tab w:val="center" w:pos="12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-62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D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2E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F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Amortissement matériel de transport</w:t>
            </w:r>
          </w:p>
        </w:tc>
        <w:tc>
          <w:tcPr/>
          <w:p w:rsidR="00000000" w:rsidDel="00000000" w:rsidP="00000000" w:rsidRDefault="00000000" w:rsidRPr="00000000" w14:paraId="00000130">
            <w:pPr>
              <w:tabs>
                <w:tab w:val="center" w:pos="12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-78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1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32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Amortissement matériel de bureau et informatique</w:t>
            </w:r>
          </w:p>
        </w:tc>
        <w:tc>
          <w:tcPr/>
          <w:p w:rsidR="00000000" w:rsidDel="00000000" w:rsidP="00000000" w:rsidRDefault="00000000" w:rsidRPr="00000000" w14:paraId="00000134">
            <w:pPr>
              <w:tabs>
                <w:tab w:val="center" w:pos="12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-7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5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36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1.40625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7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tabs>
                <w:tab w:val="center" w:pos="12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9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3A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B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Actif circulant</w:t>
            </w:r>
          </w:p>
        </w:tc>
        <w:tc>
          <w:tcPr/>
          <w:p w:rsidR="00000000" w:rsidDel="00000000" w:rsidP="00000000" w:rsidRDefault="00000000" w:rsidRPr="00000000" w14:paraId="0000013C">
            <w:pPr>
              <w:tabs>
                <w:tab w:val="center" w:pos="12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92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D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Dettes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3E">
            <w:pPr>
              <w:tabs>
                <w:tab w:val="right" w:pos="1100"/>
                <w:tab w:val="left" w:pos="4800"/>
                <w:tab w:val="left" w:pos="7900"/>
                <w:tab w:val="right" w:pos="8040"/>
              </w:tabs>
              <w:jc w:val="left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F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Stock de matière première</w:t>
            </w:r>
          </w:p>
        </w:tc>
        <w:tc>
          <w:tcPr/>
          <w:p w:rsidR="00000000" w:rsidDel="00000000" w:rsidP="00000000" w:rsidRDefault="00000000" w:rsidRPr="00000000" w14:paraId="00000140">
            <w:pPr>
              <w:tabs>
                <w:tab w:val="center" w:pos="12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25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1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Emprunts </w:t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500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3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Stock de produit finis</w:t>
            </w:r>
          </w:p>
        </w:tc>
        <w:tc>
          <w:tcPr/>
          <w:p w:rsidR="00000000" w:rsidDel="00000000" w:rsidP="00000000" w:rsidRDefault="00000000" w:rsidRPr="00000000" w14:paraId="00000144">
            <w:pPr>
              <w:tabs>
                <w:tab w:val="center" w:pos="12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76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5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46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Provision pour dépréciation</w:t>
            </w:r>
          </w:p>
        </w:tc>
        <w:tc>
          <w:tcPr/>
          <w:p w:rsidR="00000000" w:rsidDel="00000000" w:rsidP="00000000" w:rsidRDefault="00000000" w:rsidRPr="00000000" w14:paraId="00000148">
            <w:pPr>
              <w:tabs>
                <w:tab w:val="center" w:pos="12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-9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9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4A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tabs>
                <w:tab w:val="center" w:pos="12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D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tabs>
                <w:tab w:val="center" w:pos="120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1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52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3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5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9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5A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B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D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5E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F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1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162">
            <w:pPr>
              <w:tabs>
                <w:tab w:val="left" w:pos="280"/>
                <w:tab w:val="left" w:pos="840"/>
                <w:tab w:val="left" w:pos="4800"/>
                <w:tab w:val="left" w:pos="7900"/>
                <w:tab w:val="right" w:pos="8040"/>
              </w:tabs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280"/>
        <w:tab w:val="left" w:pos="2835"/>
        <w:tab w:val="left" w:pos="4800"/>
        <w:tab w:val="right" w:pos="8780"/>
      </w:tabs>
      <w:jc w:val="both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438A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 w:val="1"/>
    <w:rsid w:val="00A438A5"/>
    <w:pPr>
      <w:keepNext w:val="1"/>
      <w:tabs>
        <w:tab w:val="left" w:pos="280"/>
        <w:tab w:val="left" w:pos="2835"/>
        <w:tab w:val="left" w:pos="4800"/>
        <w:tab w:val="right" w:pos="8780"/>
      </w:tabs>
      <w:jc w:val="both"/>
      <w:outlineLvl w:val="0"/>
    </w:pPr>
    <w:rPr>
      <w:b w:val="1"/>
      <w:sz w:val="24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rsid w:val="00A438A5"/>
    <w:rPr>
      <w:rFonts w:ascii="Times New Roman" w:cs="Times New Roman" w:eastAsia="Times New Roman" w:hAnsi="Times New Roman"/>
      <w:b w:val="1"/>
      <w:sz w:val="24"/>
      <w:szCs w:val="20"/>
      <w:lang w:eastAsia="fr-FR"/>
    </w:rPr>
  </w:style>
  <w:style w:type="paragraph" w:styleId="Entte2" w:customStyle="1">
    <w:name w:val="En tête 2"/>
    <w:basedOn w:val="En-tte"/>
    <w:rsid w:val="00A438A5"/>
    <w:pPr>
      <w:tabs>
        <w:tab w:val="clear" w:pos="4536"/>
        <w:tab w:val="clear" w:pos="9072"/>
        <w:tab w:val="center" w:pos="4819"/>
        <w:tab w:val="left" w:pos="6820"/>
        <w:tab w:val="right" w:pos="9071"/>
      </w:tabs>
    </w:pPr>
    <w:rPr>
      <w:rFonts w:ascii="Times" w:hAnsi="Times"/>
      <w:b w:val="1"/>
      <w:sz w:val="24"/>
    </w:rPr>
  </w:style>
  <w:style w:type="paragraph" w:styleId="En-tte">
    <w:name w:val="header"/>
    <w:basedOn w:val="Normal"/>
    <w:link w:val="En-tteCar"/>
    <w:uiPriority w:val="99"/>
    <w:unhideWhenUsed w:val="1"/>
    <w:rsid w:val="00A438A5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A438A5"/>
    <w:rPr>
      <w:rFonts w:ascii="Times New Roman" w:cs="Times New Roman" w:eastAsia="Times New Roman" w:hAnsi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 w:val="1"/>
    <w:rsid w:val="00A438A5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A438A5"/>
    <w:rPr>
      <w:rFonts w:ascii="Times New Roman" w:cs="Times New Roman" w:eastAsia="Times New Roman" w:hAnsi="Times New Roman"/>
      <w:sz w:val="20"/>
      <w:szCs w:val="20"/>
      <w:lang w:eastAsia="fr-F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9XzLrAXrilsx4d2uOnUuH2Co1w==">AMUW2mVUwWE62l9BGKBMFQqo3xzj9qTFSfbohFgG196eEmgC9t/Dxzqcj+pdXUNFwbDzHvRaV47kktFqMTuQCmVnBp7nE0PKsQhLSi0uWc5h+hy4wYvYyZ0=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2022-11-20T14:23:00Z</dcterms:created>
  <dc:creator>MNF</dc:creator>
</cp:coreProperties>
</file>