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7E18" w:rsidRDefault="00807E18" w:rsidP="0030131F">
      <w:pPr>
        <w:spacing w:after="0" w:line="240" w:lineRule="auto"/>
        <w:rPr>
          <w:rFonts w:ascii="Comic Sans MS" w:hAnsi="Comic Sans MS"/>
          <w:sz w:val="20"/>
          <w:szCs w:val="20"/>
        </w:rPr>
      </w:pPr>
    </w:p>
    <w:p w:rsidR="0030131F" w:rsidRPr="00F245E0" w:rsidRDefault="0030131F" w:rsidP="0030131F">
      <w:pPr>
        <w:spacing w:after="0" w:line="240" w:lineRule="auto"/>
        <w:rPr>
          <w:rFonts w:ascii="Comic Sans MS" w:hAnsi="Comic Sans MS"/>
          <w:b/>
          <w:sz w:val="20"/>
          <w:szCs w:val="20"/>
        </w:rPr>
      </w:pPr>
      <w:r w:rsidRPr="00F245E0">
        <w:rPr>
          <w:rFonts w:ascii="Comic Sans MS" w:hAnsi="Comic Sans MS"/>
          <w:b/>
          <w:sz w:val="20"/>
          <w:szCs w:val="20"/>
        </w:rPr>
        <w:t>C2 : Les opérations d’investissement et de financement</w:t>
      </w:r>
    </w:p>
    <w:p w:rsidR="00AB0195" w:rsidRDefault="00AB0195" w:rsidP="0030131F">
      <w:pPr>
        <w:spacing w:after="0" w:line="240" w:lineRule="auto"/>
        <w:rPr>
          <w:rFonts w:ascii="Comic Sans MS" w:hAnsi="Comic Sans MS"/>
          <w:sz w:val="20"/>
          <w:szCs w:val="20"/>
        </w:rPr>
      </w:pPr>
    </w:p>
    <w:p w:rsidR="00A17743" w:rsidRPr="000A0DC9" w:rsidRDefault="00A17743" w:rsidP="00276993">
      <w:pPr>
        <w:pStyle w:val="Textecourant"/>
        <w:spacing w:after="0"/>
        <w:rPr>
          <w:rFonts w:ascii="Comic Sans MS" w:hAnsi="Comic Sans MS"/>
          <w:bCs w:val="0"/>
          <w:sz w:val="20"/>
          <w:szCs w:val="20"/>
        </w:rPr>
      </w:pPr>
      <w:r w:rsidRPr="000A0DC9">
        <w:rPr>
          <w:rFonts w:ascii="Comic Sans MS" w:hAnsi="Comic Sans MS"/>
          <w:bCs w:val="0"/>
          <w:sz w:val="20"/>
          <w:szCs w:val="20"/>
        </w:rPr>
        <w:t xml:space="preserve">Pour assurer sa pérennité ou répondre à un besoin de croissance, l’entreprise est amenée à investir. Elle acquiert ainsi des biens dont l’utilisation perdure sur plusieurs années. Ces biens durables sont appelés en comptabilité des immobilisations. La décision d’investir est une décision stratégique de l’entreprise, elle engage le futur. L’investissement nécessite un engagement immédiat de ressources pour un dégagement de revenus futurs. Le financement peut se faire principalement grâce aux fonds propres de l’entreprise </w:t>
      </w:r>
      <w:r w:rsidR="00276993">
        <w:rPr>
          <w:rFonts w:ascii="Comic Sans MS" w:hAnsi="Comic Sans MS"/>
          <w:bCs w:val="0"/>
          <w:sz w:val="20"/>
          <w:szCs w:val="20"/>
        </w:rPr>
        <w:t>(autofinancement</w:t>
      </w:r>
      <w:proofErr w:type="gramStart"/>
      <w:r w:rsidR="00276993">
        <w:rPr>
          <w:rFonts w:ascii="Comic Sans MS" w:hAnsi="Comic Sans MS"/>
          <w:bCs w:val="0"/>
          <w:sz w:val="20"/>
          <w:szCs w:val="20"/>
        </w:rPr>
        <w:t>)</w:t>
      </w:r>
      <w:r w:rsidRPr="000A0DC9">
        <w:rPr>
          <w:rFonts w:ascii="Comic Sans MS" w:hAnsi="Comic Sans MS"/>
          <w:bCs w:val="0"/>
          <w:sz w:val="20"/>
          <w:szCs w:val="20"/>
        </w:rPr>
        <w:t>ou</w:t>
      </w:r>
      <w:proofErr w:type="gramEnd"/>
      <w:r w:rsidRPr="000A0DC9">
        <w:rPr>
          <w:rFonts w:ascii="Comic Sans MS" w:hAnsi="Comic Sans MS"/>
          <w:bCs w:val="0"/>
          <w:sz w:val="20"/>
          <w:szCs w:val="20"/>
        </w:rPr>
        <w:t xml:space="preserve"> grâce </w:t>
      </w:r>
      <w:r w:rsidR="00276993">
        <w:rPr>
          <w:rFonts w:ascii="Comic Sans MS" w:hAnsi="Comic Sans MS"/>
          <w:bCs w:val="0"/>
          <w:sz w:val="20"/>
          <w:szCs w:val="20"/>
        </w:rPr>
        <w:t>à un financement extérieur direct ou indirect (emprunt)</w:t>
      </w:r>
      <w:r w:rsidRPr="000A0DC9">
        <w:rPr>
          <w:rFonts w:ascii="Comic Sans MS" w:hAnsi="Comic Sans MS"/>
          <w:bCs w:val="0"/>
          <w:sz w:val="20"/>
          <w:szCs w:val="20"/>
        </w:rPr>
        <w:t>. L’investissement fait partie de la politique de croissance à long et moyen terme de l’entreprise.</w:t>
      </w:r>
    </w:p>
    <w:p w:rsidR="00A17743" w:rsidRPr="000A0DC9" w:rsidRDefault="00A17743" w:rsidP="00276993">
      <w:pPr>
        <w:pStyle w:val="Titre2bis"/>
        <w:spacing w:before="0"/>
        <w:rPr>
          <w:rFonts w:ascii="Comic Sans MS" w:hAnsi="Comic Sans MS"/>
          <w:sz w:val="20"/>
        </w:rPr>
      </w:pPr>
      <w:r>
        <w:rPr>
          <w:rFonts w:ascii="Comic Sans MS" w:hAnsi="Comic Sans MS"/>
          <w:sz w:val="20"/>
        </w:rPr>
        <w:t xml:space="preserve">1. </w:t>
      </w:r>
      <w:r w:rsidRPr="000A0DC9">
        <w:rPr>
          <w:rFonts w:ascii="Comic Sans MS" w:hAnsi="Comic Sans MS"/>
          <w:sz w:val="20"/>
        </w:rPr>
        <w:t xml:space="preserve">Le processus d’investissement </w:t>
      </w:r>
    </w:p>
    <w:p w:rsidR="00A17743" w:rsidRPr="00276993" w:rsidRDefault="00A17743" w:rsidP="00A17743">
      <w:pPr>
        <w:pStyle w:val="Titre3bis"/>
        <w:rPr>
          <w:rFonts w:ascii="Comic Sans MS" w:hAnsi="Comic Sans MS"/>
          <w:sz w:val="20"/>
          <w:szCs w:val="20"/>
          <w:u w:val="none"/>
        </w:rPr>
      </w:pPr>
      <w:r w:rsidRPr="00276993">
        <w:rPr>
          <w:rFonts w:ascii="Comic Sans MS" w:hAnsi="Comic Sans MS"/>
          <w:sz w:val="20"/>
          <w:szCs w:val="20"/>
          <w:u w:val="none"/>
        </w:rPr>
        <w:t>1.1 Les différents objectifs de l’investissement</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L’investissement de l’entreprise répond à différents objectifs :</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 </w:t>
      </w:r>
      <w:r w:rsidRPr="000A0DC9">
        <w:rPr>
          <w:rFonts w:ascii="Comic Sans MS" w:hAnsi="Comic Sans MS"/>
          <w:b/>
          <w:sz w:val="20"/>
          <w:szCs w:val="20"/>
          <w:lang w:eastAsia="fr-FR"/>
        </w:rPr>
        <w:t xml:space="preserve">l’investissement de remplacement </w:t>
      </w:r>
      <w:r w:rsidRPr="000A0DC9">
        <w:rPr>
          <w:rFonts w:ascii="Comic Sans MS" w:hAnsi="Comic Sans MS"/>
          <w:bCs w:val="0"/>
          <w:sz w:val="20"/>
          <w:szCs w:val="20"/>
          <w:lang w:eastAsia="fr-FR"/>
        </w:rPr>
        <w:t>consiste à renouveler une ancienne acquisition devenue vieillissante. Cette forme d’investissement se révèle souvent indispensable en raison des risques de panne et des coûts d’entretien qu’engendrent des biens vétustes ;</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 </w:t>
      </w:r>
      <w:r w:rsidRPr="000A0DC9">
        <w:rPr>
          <w:rFonts w:ascii="Comic Sans MS" w:hAnsi="Comic Sans MS"/>
          <w:b/>
          <w:sz w:val="20"/>
          <w:szCs w:val="20"/>
          <w:lang w:eastAsia="fr-FR"/>
        </w:rPr>
        <w:t>l’investissement de capacité</w:t>
      </w:r>
      <w:r w:rsidRPr="000A0DC9">
        <w:rPr>
          <w:rFonts w:ascii="Comic Sans MS" w:hAnsi="Comic Sans MS"/>
          <w:bCs w:val="0"/>
          <w:sz w:val="20"/>
          <w:szCs w:val="20"/>
          <w:lang w:eastAsia="fr-FR"/>
        </w:rPr>
        <w:t xml:space="preserve"> favorise, quant à lui, le volume de production. Cette forme d’investissement montre que l’entreprise est en croissance car sa capacité de production actuelle ne suffit plus à satisfaire la demande ;</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 </w:t>
      </w:r>
      <w:r w:rsidRPr="000A0DC9">
        <w:rPr>
          <w:rFonts w:ascii="Comic Sans MS" w:hAnsi="Comic Sans MS"/>
          <w:b/>
          <w:sz w:val="20"/>
          <w:szCs w:val="20"/>
          <w:lang w:eastAsia="fr-FR"/>
        </w:rPr>
        <w:t>l’investissement de productivité</w:t>
      </w:r>
      <w:r w:rsidRPr="000A0DC9">
        <w:rPr>
          <w:rFonts w:ascii="Comic Sans MS" w:hAnsi="Comic Sans MS"/>
          <w:bCs w:val="0"/>
          <w:sz w:val="20"/>
          <w:szCs w:val="20"/>
          <w:lang w:eastAsia="fr-FR"/>
        </w:rPr>
        <w:t xml:space="preserve"> permet à l’entreprise de diminuer ses coûts de production grâce à l’acquisition d’outils de production plus performants. </w:t>
      </w:r>
    </w:p>
    <w:p w:rsidR="00A17743" w:rsidRPr="000A0DC9" w:rsidRDefault="00A17743" w:rsidP="00A17743">
      <w:pPr>
        <w:pStyle w:val="Exemple"/>
        <w:rPr>
          <w:rFonts w:ascii="Comic Sans MS" w:hAnsi="Comic Sans MS"/>
          <w:szCs w:val="20"/>
        </w:rPr>
      </w:pPr>
      <w:r w:rsidRPr="000A0DC9">
        <w:rPr>
          <w:rFonts w:ascii="Comic Sans MS" w:hAnsi="Comic Sans MS"/>
          <w:szCs w:val="20"/>
        </w:rPr>
        <w:t>Exemple. Une machine utilisant moins d’heures de main-d’œuvre pour une production identique ou meilleure à la production actuelle de l’entreprise.</w:t>
      </w:r>
    </w:p>
    <w:p w:rsidR="00A17743" w:rsidRPr="000A0DC9" w:rsidRDefault="00A17743" w:rsidP="00276993">
      <w:pPr>
        <w:pStyle w:val="Textecourant"/>
        <w:spacing w:after="0"/>
        <w:rPr>
          <w:rFonts w:ascii="Comic Sans MS" w:hAnsi="Comic Sans MS"/>
          <w:bCs w:val="0"/>
          <w:sz w:val="20"/>
          <w:szCs w:val="20"/>
          <w:lang w:eastAsia="fr-FR"/>
        </w:rPr>
      </w:pPr>
      <w:r w:rsidRPr="000A0DC9">
        <w:rPr>
          <w:rFonts w:ascii="Comic Sans MS" w:hAnsi="Comic Sans MS"/>
          <w:bCs w:val="0"/>
          <w:sz w:val="20"/>
          <w:szCs w:val="20"/>
          <w:lang w:eastAsia="fr-FR"/>
        </w:rPr>
        <w:t>Il est rare qu’un investissement corresponde à un seul objectif. En raison des progrès technologiques, un investissement de remplacement permet généralement une augmentation de la capacité de production et une diminution des coûts de production.</w:t>
      </w:r>
    </w:p>
    <w:p w:rsidR="00A17743" w:rsidRPr="00276993" w:rsidRDefault="00A17743" w:rsidP="00276993">
      <w:pPr>
        <w:pStyle w:val="Titre3bis"/>
        <w:spacing w:before="0" w:after="0"/>
        <w:rPr>
          <w:rFonts w:ascii="Comic Sans MS" w:hAnsi="Comic Sans MS"/>
          <w:sz w:val="20"/>
          <w:szCs w:val="20"/>
          <w:u w:val="none"/>
        </w:rPr>
      </w:pPr>
      <w:r w:rsidRPr="00276993">
        <w:rPr>
          <w:rFonts w:ascii="Comic Sans MS" w:hAnsi="Comic Sans MS"/>
          <w:sz w:val="20"/>
          <w:szCs w:val="20"/>
          <w:u w:val="none"/>
        </w:rPr>
        <w:t>1.2 La décision d’investir</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Selon l’objectif de l’investissement, la décision suit un processus différent. Elle est cependant toujours de la compétence des dirigeants.</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L’investissement de remplacement est indispensable en raison de la vétusté du bien détenu par l’entreprise. Même si la décision d’investissement requiert la recherche préalable de solutions les plus adaptées au remplacement et à son financement, le processus reste rapide en raison de la nécessité du remplacement.</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 xml:space="preserve">En ce qui concerne les autres types d’investissement, le processus suit un tout autre cheminement : </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 xml:space="preserve">– il faut au préalable effectuer une analyse de l’entreprise et de son environnement : il s’agit de bien connaître le marché et ses perspectives d’évolution, d’être au fait des changements juridiques et des contraintes organisationnelles liées à l’investissement ; </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 il faut ensuite rechercher la solution à la plus adaptée à l’entreprise, notamment au moyen d’un appel d’offres ;</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 enfin, il convient d’étudier le financement de l’acquisition grâce aux fonds propres détenus par l’entreprise ou à d’autres moyens de financement, comme l’emprunt.</w:t>
      </w:r>
    </w:p>
    <w:p w:rsidR="00A17743" w:rsidRPr="000A0DC9" w:rsidRDefault="00A17743" w:rsidP="00A17743">
      <w:pPr>
        <w:pStyle w:val="Titre3bis"/>
        <w:rPr>
          <w:rFonts w:ascii="Comic Sans MS" w:hAnsi="Comic Sans MS"/>
          <w:sz w:val="20"/>
          <w:szCs w:val="20"/>
        </w:rPr>
      </w:pPr>
      <w:r>
        <w:rPr>
          <w:rFonts w:ascii="Comic Sans MS" w:hAnsi="Comic Sans MS"/>
          <w:sz w:val="20"/>
          <w:szCs w:val="20"/>
        </w:rPr>
        <w:t>1.3</w:t>
      </w:r>
      <w:r w:rsidRPr="000A0DC9">
        <w:rPr>
          <w:rFonts w:ascii="Comic Sans MS" w:hAnsi="Comic Sans MS"/>
          <w:sz w:val="20"/>
          <w:szCs w:val="20"/>
        </w:rPr>
        <w:t xml:space="preserve"> L’investissement et les immobilisations</w:t>
      </w:r>
    </w:p>
    <w:p w:rsidR="00A17743" w:rsidRPr="000A0DC9" w:rsidRDefault="00A17743" w:rsidP="00A17743">
      <w:pPr>
        <w:pStyle w:val="Titre3ter"/>
        <w:rPr>
          <w:rFonts w:ascii="Comic Sans MS" w:hAnsi="Comic Sans MS"/>
          <w:sz w:val="20"/>
          <w:szCs w:val="20"/>
        </w:rPr>
      </w:pPr>
      <w:r w:rsidRPr="000A0DC9">
        <w:rPr>
          <w:rFonts w:ascii="Comic Sans MS" w:hAnsi="Comic Sans MS"/>
          <w:sz w:val="20"/>
          <w:szCs w:val="20"/>
        </w:rPr>
        <w:t>a) La traduction de l’investissement en comptabilité</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L’investissement correspond à un engagement immédiat de ressources pour l’acquisition d’un bien générateur de revenus futurs. Ce terme de gestion correspond en comptabilité aux immobilisations.</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Une immobilisation est un bien acquis par l’entreprise dont elle entend se procurer des avantages économiques sur une durée supérieure à un an (supérieure à celle d’un exercice comptable). L’entreprise fixe la durée d’utilisation de l’immobilisation.</w:t>
      </w:r>
    </w:p>
    <w:p w:rsidR="00A17743" w:rsidRPr="000A0DC9" w:rsidRDefault="00A17743" w:rsidP="00A17743">
      <w:pPr>
        <w:pStyle w:val="Exemple"/>
        <w:rPr>
          <w:rFonts w:ascii="Comic Sans MS" w:hAnsi="Comic Sans MS"/>
          <w:szCs w:val="20"/>
        </w:rPr>
      </w:pPr>
      <w:r w:rsidRPr="000A0DC9">
        <w:rPr>
          <w:rFonts w:ascii="Comic Sans MS" w:hAnsi="Comic Sans MS"/>
          <w:szCs w:val="20"/>
        </w:rPr>
        <w:t>Exemple. Une entreprise industrielle utilise ses machines pendant 5 ans alors que ses camions de livraison sont utilisés pendant 8 ans. Ces durées d’utilisation sont propres à cette entreprise.</w:t>
      </w:r>
    </w:p>
    <w:p w:rsidR="00276993" w:rsidRDefault="00276993" w:rsidP="00A17743">
      <w:pPr>
        <w:pStyle w:val="Textecourant"/>
        <w:rPr>
          <w:rFonts w:ascii="Comic Sans MS" w:hAnsi="Comic Sans MS"/>
          <w:bCs w:val="0"/>
          <w:sz w:val="20"/>
          <w:szCs w:val="20"/>
          <w:lang w:eastAsia="fr-FR"/>
        </w:rPr>
      </w:pPr>
    </w:p>
    <w:p w:rsidR="00276993" w:rsidRDefault="00276993" w:rsidP="00A17743">
      <w:pPr>
        <w:pStyle w:val="Textecourant"/>
        <w:rPr>
          <w:rFonts w:ascii="Comic Sans MS" w:hAnsi="Comic Sans MS"/>
          <w:bCs w:val="0"/>
          <w:sz w:val="20"/>
          <w:szCs w:val="20"/>
          <w:lang w:eastAsia="fr-FR"/>
        </w:rPr>
      </w:pP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L’immobilisation se distingue des charges liées au cycle d’exploitation par la durée d’utilisation. En effet, les charges sont consommées sur une durée inférieure à un an (consommation énergétique, achats de marchandises, de matières premières, d’assurance, d’entretien et réparation…).</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Par exception, les biens durables inférieurs à 500 € HT sont considérés comme des achats et non comme des immobilisations en raison de leur faible valeur, quelle que soit leur durée d’utilisation.</w:t>
      </w:r>
    </w:p>
    <w:p w:rsidR="00A17743" w:rsidRPr="000A0DC9" w:rsidRDefault="00A17743" w:rsidP="00A17743">
      <w:pPr>
        <w:pStyle w:val="Titre3ter"/>
        <w:rPr>
          <w:rFonts w:ascii="Comic Sans MS" w:hAnsi="Comic Sans MS"/>
          <w:sz w:val="20"/>
          <w:szCs w:val="20"/>
        </w:rPr>
      </w:pPr>
      <w:r w:rsidRPr="000A0DC9">
        <w:rPr>
          <w:rFonts w:ascii="Comic Sans MS" w:hAnsi="Comic Sans MS"/>
          <w:sz w:val="20"/>
          <w:szCs w:val="20"/>
        </w:rPr>
        <w:t>b) Les différentes catégories d’immobilisations</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Le plan comptable général distingue trois catégories d’immobilisations :</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 les immobilisations incorporelles n’ont pas de substance physique ;</w:t>
      </w:r>
    </w:p>
    <w:p w:rsidR="00A17743" w:rsidRPr="000A0DC9" w:rsidRDefault="00A17743" w:rsidP="00A17743">
      <w:pPr>
        <w:pStyle w:val="Exemple"/>
        <w:rPr>
          <w:rFonts w:ascii="Comic Sans MS" w:eastAsia="Calibri" w:hAnsi="Comic Sans MS"/>
          <w:szCs w:val="20"/>
        </w:rPr>
      </w:pPr>
      <w:r w:rsidRPr="000A0DC9">
        <w:rPr>
          <w:rFonts w:ascii="Comic Sans MS" w:eastAsia="Calibri" w:hAnsi="Comic Sans MS"/>
          <w:szCs w:val="20"/>
        </w:rPr>
        <w:t xml:space="preserve">Exemples. Les brevets, les logiciels et le fonds de commerce. </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 les immobilisations corporelles correspondent à des éléments ayant une substance physique ;</w:t>
      </w:r>
    </w:p>
    <w:p w:rsidR="00A17743" w:rsidRPr="000A0DC9" w:rsidRDefault="00A17743" w:rsidP="00A17743">
      <w:pPr>
        <w:pStyle w:val="Exemple"/>
        <w:rPr>
          <w:rFonts w:ascii="Comic Sans MS" w:eastAsia="Calibri" w:hAnsi="Comic Sans MS"/>
          <w:szCs w:val="20"/>
        </w:rPr>
      </w:pPr>
      <w:r w:rsidRPr="000A0DC9">
        <w:rPr>
          <w:rFonts w:ascii="Comic Sans MS" w:eastAsia="Calibri" w:hAnsi="Comic Sans MS"/>
          <w:szCs w:val="20"/>
        </w:rPr>
        <w:t>Exemples. Les véhicules, les machines, les immeubles, les matériels.</w:t>
      </w:r>
    </w:p>
    <w:p w:rsidR="00A17743" w:rsidRPr="000A0DC9" w:rsidRDefault="00A17743" w:rsidP="00A17743">
      <w:pPr>
        <w:pStyle w:val="Textecourant"/>
        <w:rPr>
          <w:rFonts w:ascii="Comic Sans MS" w:hAnsi="Comic Sans MS"/>
          <w:bCs w:val="0"/>
          <w:sz w:val="20"/>
          <w:szCs w:val="20"/>
          <w:lang w:eastAsia="fr-FR"/>
        </w:rPr>
      </w:pPr>
      <w:r w:rsidRPr="000A0DC9">
        <w:rPr>
          <w:rFonts w:ascii="Comic Sans MS" w:hAnsi="Comic Sans MS"/>
          <w:bCs w:val="0"/>
          <w:sz w:val="20"/>
          <w:szCs w:val="20"/>
          <w:lang w:eastAsia="fr-FR"/>
        </w:rPr>
        <w:t>– les immobilisations financières correspondent essentiellement à l’acquisition de titres émis par d’autres entreprises (actions ou parts sociales).</w:t>
      </w:r>
    </w:p>
    <w:p w:rsidR="00A17743" w:rsidRDefault="00A17743" w:rsidP="00A17743">
      <w:pPr>
        <w:pStyle w:val="Exemple"/>
        <w:rPr>
          <w:rFonts w:ascii="Comic Sans MS" w:eastAsia="Calibri" w:hAnsi="Comic Sans MS"/>
          <w:szCs w:val="20"/>
        </w:rPr>
      </w:pPr>
      <w:r w:rsidRPr="000A0DC9">
        <w:rPr>
          <w:rFonts w:ascii="Comic Sans MS" w:eastAsia="Calibri" w:hAnsi="Comic Sans MS"/>
          <w:spacing w:val="-2"/>
          <w:szCs w:val="20"/>
        </w:rPr>
        <w:t>Exemple. L’acquisition d’actions d’un sous-traitant avec qui l’entreprise a l’intention de conserver des relations</w:t>
      </w:r>
      <w:r w:rsidRPr="000A0DC9">
        <w:rPr>
          <w:rFonts w:ascii="Comic Sans MS" w:eastAsia="Calibri" w:hAnsi="Comic Sans MS"/>
          <w:szCs w:val="20"/>
        </w:rPr>
        <w:t xml:space="preserve"> commerciales.</w:t>
      </w:r>
    </w:p>
    <w:p w:rsidR="00A17743" w:rsidRDefault="00A17743" w:rsidP="00A17743">
      <w:pPr>
        <w:pStyle w:val="Exemple"/>
        <w:rPr>
          <w:rFonts w:ascii="Comic Sans MS" w:eastAsia="Calibri" w:hAnsi="Comic Sans MS"/>
          <w:szCs w:val="20"/>
        </w:rPr>
      </w:pPr>
    </w:p>
    <w:p w:rsidR="000A420D" w:rsidRPr="0044796D" w:rsidRDefault="000A420D" w:rsidP="00A17743">
      <w:pPr>
        <w:pStyle w:val="Exemple"/>
        <w:rPr>
          <w:rFonts w:ascii="Comic Sans MS" w:eastAsia="Calibri" w:hAnsi="Comic Sans MS"/>
          <w:b/>
          <w:szCs w:val="20"/>
        </w:rPr>
      </w:pPr>
      <w:r w:rsidRPr="0044796D">
        <w:rPr>
          <w:rFonts w:ascii="Comic Sans MS" w:eastAsia="Calibri" w:hAnsi="Comic Sans MS"/>
          <w:b/>
          <w:szCs w:val="20"/>
        </w:rPr>
        <w:t>Activité :</w:t>
      </w:r>
    </w:p>
    <w:p w:rsidR="000A420D" w:rsidRDefault="000A420D" w:rsidP="00A17743">
      <w:pPr>
        <w:pStyle w:val="Exemple"/>
        <w:rPr>
          <w:rFonts w:ascii="Comic Sans MS" w:eastAsia="Calibri" w:hAnsi="Comic Sans MS"/>
          <w:szCs w:val="20"/>
        </w:rPr>
      </w:pPr>
      <w:r>
        <w:rPr>
          <w:rFonts w:ascii="Comic Sans MS" w:eastAsia="Calibri" w:hAnsi="Comic Sans MS"/>
          <w:szCs w:val="20"/>
        </w:rPr>
        <w:t>Aventur’buggy est une PME dont l’activité est la location de quads et de buggys pour des randonnées. Son gérant souhaite à présent acheter un terrain afin d’en faire un circuit.</w:t>
      </w:r>
    </w:p>
    <w:p w:rsidR="000A420D" w:rsidRPr="000A0DC9" w:rsidRDefault="000A420D" w:rsidP="00A17743">
      <w:pPr>
        <w:pStyle w:val="Exemple"/>
        <w:rPr>
          <w:rFonts w:ascii="Comic Sans MS" w:eastAsia="Calibri" w:hAnsi="Comic Sans MS"/>
          <w:szCs w:val="20"/>
        </w:rPr>
      </w:pPr>
    </w:p>
    <w:p w:rsidR="008E08DC" w:rsidRDefault="000A420D" w:rsidP="00D00CB7">
      <w:pPr>
        <w:spacing w:after="0" w:line="240" w:lineRule="auto"/>
        <w:jc w:val="center"/>
        <w:rPr>
          <w:rFonts w:ascii="Comic Sans MS" w:hAnsi="Comic Sans MS"/>
          <w:sz w:val="20"/>
          <w:szCs w:val="20"/>
        </w:rPr>
      </w:pPr>
      <w:r w:rsidRPr="000A420D">
        <w:rPr>
          <w:rFonts w:ascii="Comic Sans MS" w:hAnsi="Comic Sans MS"/>
          <w:noProof/>
          <w:sz w:val="20"/>
          <w:szCs w:val="20"/>
          <w:lang w:eastAsia="fr-FR"/>
        </w:rPr>
        <w:drawing>
          <wp:inline distT="0" distB="0" distL="0" distR="0">
            <wp:extent cx="6105525" cy="1894840"/>
            <wp:effectExtent l="0" t="0" r="9525" b="0"/>
            <wp:docPr id="1" name="Image 1" descr="C:\Users\Cathy\Documents\GESTION FINANCE TN Apprenti\C2 Op investissement et financement\Bi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y\Documents\GESTION FINANCE TN Apprenti\C2 Op investissement et financement\Bilan.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8413" r="10721" b="31436"/>
                    <a:stretch/>
                  </pic:blipFill>
                  <pic:spPr bwMode="auto">
                    <a:xfrm>
                      <a:off x="0" y="0"/>
                      <a:ext cx="6106911" cy="1895270"/>
                    </a:xfrm>
                    <a:prstGeom prst="rect">
                      <a:avLst/>
                    </a:prstGeom>
                    <a:noFill/>
                    <a:ln>
                      <a:noFill/>
                    </a:ln>
                    <a:extLst>
                      <a:ext uri="{53640926-AAD7-44D8-BBD7-CCE9431645EC}">
                        <a14:shadowObscured xmlns:a14="http://schemas.microsoft.com/office/drawing/2010/main"/>
                      </a:ext>
                    </a:extLst>
                  </pic:spPr>
                </pic:pic>
              </a:graphicData>
            </a:graphic>
          </wp:inline>
        </w:drawing>
      </w:r>
    </w:p>
    <w:p w:rsidR="00DB05EA" w:rsidRDefault="00DB05EA" w:rsidP="00D00CB7">
      <w:pPr>
        <w:spacing w:after="0" w:line="240" w:lineRule="auto"/>
        <w:jc w:val="center"/>
        <w:rPr>
          <w:rFonts w:ascii="Comic Sans MS" w:hAnsi="Comic Sans MS"/>
          <w:sz w:val="20"/>
          <w:szCs w:val="20"/>
        </w:rPr>
      </w:pPr>
    </w:p>
    <w:p w:rsidR="00DB05EA" w:rsidRDefault="00DB05EA" w:rsidP="00DB05EA">
      <w:pPr>
        <w:pStyle w:val="Paragraphedeliste"/>
        <w:numPr>
          <w:ilvl w:val="0"/>
          <w:numId w:val="5"/>
        </w:numPr>
        <w:spacing w:after="0" w:line="240" w:lineRule="auto"/>
        <w:rPr>
          <w:rFonts w:ascii="Comic Sans MS" w:hAnsi="Comic Sans MS"/>
          <w:sz w:val="20"/>
          <w:szCs w:val="20"/>
        </w:rPr>
      </w:pPr>
      <w:r>
        <w:rPr>
          <w:rFonts w:ascii="Comic Sans MS" w:hAnsi="Comic Sans MS"/>
          <w:sz w:val="20"/>
          <w:szCs w:val="20"/>
        </w:rPr>
        <w:t>Où trouve-t-on les biens dont l’entreprise est propriétaire ?</w:t>
      </w:r>
    </w:p>
    <w:p w:rsidR="00DB05EA" w:rsidRDefault="00DB05EA" w:rsidP="00DB05EA">
      <w:pPr>
        <w:pStyle w:val="Paragraphedeliste"/>
        <w:numPr>
          <w:ilvl w:val="0"/>
          <w:numId w:val="5"/>
        </w:numPr>
        <w:spacing w:after="0" w:line="240" w:lineRule="auto"/>
        <w:rPr>
          <w:rFonts w:ascii="Comic Sans MS" w:hAnsi="Comic Sans MS"/>
          <w:sz w:val="20"/>
          <w:szCs w:val="20"/>
        </w:rPr>
      </w:pPr>
      <w:r>
        <w:rPr>
          <w:rFonts w:ascii="Comic Sans MS" w:hAnsi="Comic Sans MS"/>
          <w:sz w:val="20"/>
          <w:szCs w:val="20"/>
        </w:rPr>
        <w:t>Quelle est leur valeur ?</w:t>
      </w:r>
    </w:p>
    <w:p w:rsidR="00DB05EA" w:rsidRDefault="00DB05EA" w:rsidP="00DB05EA">
      <w:pPr>
        <w:pStyle w:val="Paragraphedeliste"/>
        <w:numPr>
          <w:ilvl w:val="0"/>
          <w:numId w:val="5"/>
        </w:numPr>
        <w:spacing w:after="0" w:line="240" w:lineRule="auto"/>
        <w:rPr>
          <w:rFonts w:ascii="Comic Sans MS" w:hAnsi="Comic Sans MS"/>
          <w:sz w:val="20"/>
          <w:szCs w:val="20"/>
        </w:rPr>
      </w:pPr>
      <w:r>
        <w:rPr>
          <w:rFonts w:ascii="Comic Sans MS" w:hAnsi="Comic Sans MS"/>
          <w:sz w:val="20"/>
          <w:szCs w:val="20"/>
        </w:rPr>
        <w:t>Quelles sont les étapes préalables à l’investissement</w:t>
      </w:r>
    </w:p>
    <w:p w:rsidR="00DB05EA" w:rsidRPr="0044796D" w:rsidRDefault="00DB05EA" w:rsidP="00DB05EA">
      <w:pPr>
        <w:pStyle w:val="Paragraphedeliste"/>
        <w:numPr>
          <w:ilvl w:val="0"/>
          <w:numId w:val="5"/>
        </w:numPr>
        <w:spacing w:after="0" w:line="240" w:lineRule="auto"/>
        <w:rPr>
          <w:rFonts w:ascii="Comic Sans MS" w:hAnsi="Comic Sans MS"/>
          <w:sz w:val="20"/>
          <w:szCs w:val="20"/>
        </w:rPr>
      </w:pPr>
      <w:r w:rsidRPr="0044796D">
        <w:rPr>
          <w:rFonts w:ascii="Comic Sans MS" w:hAnsi="Comic Sans MS"/>
          <w:sz w:val="20"/>
          <w:szCs w:val="20"/>
        </w:rPr>
        <w:t>Aventur’buggy peut-elle acquérir le terrain grâce à l’autofinancement ?</w:t>
      </w:r>
    </w:p>
    <w:p w:rsidR="00DB05EA" w:rsidRPr="00DB05EA" w:rsidRDefault="00DB05EA" w:rsidP="00DB05EA">
      <w:pPr>
        <w:pStyle w:val="Paragraphedeliste"/>
        <w:spacing w:after="0" w:line="240" w:lineRule="auto"/>
        <w:rPr>
          <w:rFonts w:ascii="Comic Sans MS" w:hAnsi="Comic Sans MS"/>
          <w:sz w:val="20"/>
          <w:szCs w:val="20"/>
        </w:rPr>
      </w:pPr>
    </w:p>
    <w:p w:rsidR="008E08DC" w:rsidRDefault="008E08DC" w:rsidP="00D00CB7">
      <w:pPr>
        <w:spacing w:after="0" w:line="240" w:lineRule="auto"/>
        <w:jc w:val="center"/>
        <w:rPr>
          <w:rFonts w:ascii="Comic Sans MS" w:hAnsi="Comic Sans MS"/>
          <w:sz w:val="20"/>
          <w:szCs w:val="20"/>
        </w:rPr>
      </w:pPr>
    </w:p>
    <w:p w:rsidR="008E08B4" w:rsidRDefault="008E08DC" w:rsidP="008E08DC">
      <w:pPr>
        <w:rPr>
          <w:rFonts w:ascii="Comic Sans MS" w:hAnsi="Comic Sans MS"/>
          <w:sz w:val="20"/>
          <w:szCs w:val="20"/>
        </w:rPr>
      </w:pPr>
      <w:r>
        <w:rPr>
          <w:rFonts w:ascii="Comic Sans MS" w:hAnsi="Comic Sans MS"/>
          <w:sz w:val="20"/>
          <w:szCs w:val="20"/>
        </w:rPr>
        <w:br w:type="page"/>
      </w:r>
    </w:p>
    <w:p w:rsidR="008E08B4" w:rsidRPr="000A0DC9" w:rsidRDefault="008E08B4" w:rsidP="008E08B4">
      <w:pPr>
        <w:pStyle w:val="Titre2bis"/>
        <w:spacing w:before="0" w:after="0"/>
        <w:rPr>
          <w:rFonts w:ascii="Comic Sans MS" w:hAnsi="Comic Sans MS"/>
          <w:sz w:val="20"/>
        </w:rPr>
      </w:pPr>
      <w:r>
        <w:rPr>
          <w:rFonts w:ascii="Comic Sans MS" w:hAnsi="Comic Sans MS"/>
          <w:sz w:val="20"/>
        </w:rPr>
        <w:lastRenderedPageBreak/>
        <w:t>2</w:t>
      </w:r>
      <w:r w:rsidRPr="000A0DC9">
        <w:rPr>
          <w:rFonts w:ascii="Comic Sans MS" w:hAnsi="Comic Sans MS"/>
          <w:sz w:val="20"/>
        </w:rPr>
        <w:t xml:space="preserve">. La comptabilisation </w:t>
      </w:r>
      <w:r>
        <w:rPr>
          <w:rFonts w:ascii="Comic Sans MS" w:hAnsi="Comic Sans MS"/>
          <w:sz w:val="20"/>
        </w:rPr>
        <w:t xml:space="preserve">de </w:t>
      </w:r>
      <w:r w:rsidRPr="000A0DC9">
        <w:rPr>
          <w:rFonts w:ascii="Comic Sans MS" w:hAnsi="Comic Sans MS"/>
          <w:sz w:val="20"/>
        </w:rPr>
        <w:t xml:space="preserve">l’acquisition de l’immobilisation </w:t>
      </w:r>
    </w:p>
    <w:tbl>
      <w:tblPr>
        <w:tblW w:w="5000" w:type="pct"/>
        <w:tblCellSpacing w:w="0" w:type="dxa"/>
        <w:tblCellMar>
          <w:left w:w="0" w:type="dxa"/>
          <w:right w:w="0" w:type="dxa"/>
        </w:tblCellMar>
        <w:tblLook w:val="04A0" w:firstRow="1" w:lastRow="0" w:firstColumn="1" w:lastColumn="0" w:noHBand="0" w:noVBand="1"/>
      </w:tblPr>
      <w:tblGrid>
        <w:gridCol w:w="10772"/>
      </w:tblGrid>
      <w:tr w:rsidR="008E08B4" w:rsidRPr="008E08B4" w:rsidTr="008E08B4">
        <w:trPr>
          <w:tblCellSpacing w:w="0" w:type="dxa"/>
        </w:trPr>
        <w:tc>
          <w:tcPr>
            <w:tcW w:w="0" w:type="auto"/>
            <w:tcMar>
              <w:top w:w="30" w:type="dxa"/>
              <w:left w:w="270" w:type="dxa"/>
              <w:bottom w:w="30" w:type="dxa"/>
              <w:right w:w="0"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8"/>
              <w:gridCol w:w="3592"/>
            </w:tblGrid>
            <w:tr w:rsidR="008E08B4" w:rsidRPr="008E08B4" w:rsidTr="008E08B4">
              <w:trPr>
                <w:tblCellSpacing w:w="15" w:type="dxa"/>
              </w:trPr>
              <w:tc>
                <w:tcPr>
                  <w:tcW w:w="0" w:type="auto"/>
                  <w:tcMar>
                    <w:top w:w="30" w:type="dxa"/>
                    <w:left w:w="30" w:type="dxa"/>
                    <w:bottom w:w="30" w:type="dxa"/>
                    <w:right w:w="0" w:type="dxa"/>
                  </w:tcMar>
                  <w:hideMark/>
                </w:tcPr>
                <w:p w:rsidR="008E08B4" w:rsidRPr="008E08B4" w:rsidRDefault="008E08B4" w:rsidP="008E08B4">
                  <w:pPr>
                    <w:spacing w:after="0" w:line="360" w:lineRule="atLeast"/>
                    <w:rPr>
                      <w:rFonts w:ascii="Comic Sans MS" w:eastAsia="Times New Roman" w:hAnsi="Comic Sans MS" w:cs="Arial"/>
                      <w:b/>
                      <w:bCs/>
                      <w:sz w:val="20"/>
                      <w:szCs w:val="20"/>
                      <w:lang w:eastAsia="fr-FR"/>
                    </w:rPr>
                  </w:pPr>
                  <w:r>
                    <w:rPr>
                      <w:rFonts w:ascii="Comic Sans MS" w:eastAsia="Times New Roman" w:hAnsi="Comic Sans MS" w:cs="Arial"/>
                      <w:b/>
                      <w:bCs/>
                      <w:sz w:val="20"/>
                      <w:szCs w:val="20"/>
                      <w:lang w:eastAsia="fr-FR"/>
                    </w:rPr>
                    <w:t xml:space="preserve">PCG ART </w:t>
                  </w:r>
                  <w:r w:rsidRPr="008E08B4">
                    <w:rPr>
                      <w:rFonts w:ascii="Comic Sans MS" w:eastAsia="Times New Roman" w:hAnsi="Comic Sans MS" w:cs="Arial"/>
                      <w:b/>
                      <w:bCs/>
                      <w:sz w:val="20"/>
                      <w:szCs w:val="20"/>
                      <w:lang w:eastAsia="fr-FR"/>
                    </w:rPr>
                    <w:t>321-10.</w:t>
                  </w:r>
                </w:p>
              </w:tc>
              <w:tc>
                <w:tcPr>
                  <w:tcW w:w="0" w:type="auto"/>
                  <w:tcMar>
                    <w:top w:w="30" w:type="dxa"/>
                    <w:left w:w="30" w:type="dxa"/>
                    <w:bottom w:w="30" w:type="dxa"/>
                    <w:right w:w="0" w:type="dxa"/>
                  </w:tcMar>
                  <w:vAlign w:val="center"/>
                  <w:hideMark/>
                </w:tcPr>
                <w:p w:rsidR="008E08B4" w:rsidRPr="008E08B4" w:rsidRDefault="008E08B4" w:rsidP="008E08B4">
                  <w:pPr>
                    <w:spacing w:after="0" w:line="360" w:lineRule="atLeast"/>
                    <w:rPr>
                      <w:rFonts w:ascii="Comic Sans MS" w:eastAsia="Times New Roman" w:hAnsi="Comic Sans MS" w:cs="Arial"/>
                      <w:b/>
                      <w:bCs/>
                      <w:sz w:val="20"/>
                      <w:szCs w:val="20"/>
                      <w:lang w:eastAsia="fr-FR"/>
                    </w:rPr>
                  </w:pPr>
                  <w:r w:rsidRPr="008E08B4">
                    <w:rPr>
                      <w:rFonts w:ascii="Comic Sans MS" w:eastAsia="Times New Roman" w:hAnsi="Comic Sans MS" w:cs="Arial"/>
                      <w:b/>
                      <w:bCs/>
                      <w:sz w:val="20"/>
                      <w:szCs w:val="20"/>
                      <w:lang w:eastAsia="fr-FR"/>
                    </w:rPr>
                    <w:t xml:space="preserve">Eléments du coût d’acquisition initial </w:t>
                  </w:r>
                </w:p>
              </w:tc>
            </w:tr>
          </w:tbl>
          <w:p w:rsidR="008E08B4" w:rsidRPr="008E08B4" w:rsidRDefault="008E08B4" w:rsidP="008E08B4">
            <w:pPr>
              <w:spacing w:after="0" w:line="240" w:lineRule="auto"/>
              <w:rPr>
                <w:rFonts w:ascii="Comic Sans MS" w:eastAsia="Times New Roman" w:hAnsi="Comic Sans MS" w:cs="Arial"/>
                <w:sz w:val="20"/>
                <w:szCs w:val="20"/>
                <w:lang w:eastAsia="fr-FR"/>
              </w:rPr>
            </w:pPr>
            <w:r w:rsidRPr="008E08B4">
              <w:rPr>
                <w:rFonts w:ascii="Comic Sans MS" w:eastAsia="Times New Roman" w:hAnsi="Comic Sans MS" w:cs="Arial"/>
                <w:sz w:val="20"/>
                <w:szCs w:val="20"/>
                <w:lang w:eastAsia="fr-FR"/>
              </w:rPr>
              <w:t xml:space="preserve">Le coût d’acquisition d’une immobilisation corporelle est constitué: </w:t>
            </w:r>
          </w:p>
          <w:p w:rsidR="008E08B4" w:rsidRPr="008E08B4" w:rsidRDefault="008E08B4" w:rsidP="008E08B4">
            <w:pPr>
              <w:pStyle w:val="Paragraphedeliste"/>
              <w:numPr>
                <w:ilvl w:val="0"/>
                <w:numId w:val="3"/>
              </w:numPr>
              <w:spacing w:after="0" w:line="240" w:lineRule="auto"/>
              <w:ind w:left="0" w:firstLine="14"/>
              <w:jc w:val="both"/>
              <w:rPr>
                <w:rFonts w:ascii="Comic Sans MS" w:eastAsia="Times New Roman" w:hAnsi="Comic Sans MS" w:cs="Arial"/>
                <w:sz w:val="20"/>
                <w:szCs w:val="20"/>
                <w:lang w:eastAsia="fr-FR"/>
              </w:rPr>
            </w:pPr>
            <w:r w:rsidRPr="008E08B4">
              <w:rPr>
                <w:rFonts w:ascii="Comic Sans MS" w:eastAsia="Times New Roman" w:hAnsi="Comic Sans MS" w:cs="Arial"/>
                <w:sz w:val="20"/>
                <w:szCs w:val="20"/>
                <w:lang w:eastAsia="fr-FR"/>
              </w:rPr>
              <w:t xml:space="preserve">son prix d’achat, y compris les droits de douane et taxes non récupérables, après déduction des remises, rabais commerciaux et escomptes de règlement ; </w:t>
            </w:r>
          </w:p>
          <w:p w:rsidR="008E08B4" w:rsidRPr="008E08B4" w:rsidRDefault="008E08B4" w:rsidP="008E08B4">
            <w:pPr>
              <w:pStyle w:val="Paragraphedeliste"/>
              <w:numPr>
                <w:ilvl w:val="0"/>
                <w:numId w:val="3"/>
              </w:numPr>
              <w:spacing w:after="0" w:line="240" w:lineRule="auto"/>
              <w:ind w:left="14" w:hanging="14"/>
              <w:jc w:val="both"/>
              <w:rPr>
                <w:rFonts w:ascii="Comic Sans MS" w:eastAsia="Times New Roman" w:hAnsi="Comic Sans MS" w:cs="Arial"/>
                <w:sz w:val="20"/>
                <w:szCs w:val="20"/>
                <w:lang w:eastAsia="fr-FR"/>
              </w:rPr>
            </w:pPr>
            <w:r w:rsidRPr="008E08B4">
              <w:rPr>
                <w:rFonts w:ascii="Comic Sans MS" w:eastAsia="Times New Roman" w:hAnsi="Comic Sans MS" w:cs="Arial"/>
                <w:sz w:val="20"/>
                <w:szCs w:val="20"/>
                <w:lang w:eastAsia="fr-FR"/>
              </w:rPr>
              <w:t xml:space="preserve">de tous les coûts directement attribuables engagés pour mettre l’actif en place et en état de fonctionner selon l’utilisation prévue par la direction. </w:t>
            </w:r>
          </w:p>
          <w:p w:rsidR="008E08B4" w:rsidRDefault="008E08B4" w:rsidP="008E08B4">
            <w:pPr>
              <w:spacing w:after="100" w:afterAutospacing="1" w:line="240" w:lineRule="auto"/>
              <w:jc w:val="both"/>
              <w:rPr>
                <w:rFonts w:ascii="Comic Sans MS" w:eastAsia="Times New Roman" w:hAnsi="Comic Sans MS" w:cs="Arial"/>
                <w:sz w:val="20"/>
                <w:szCs w:val="20"/>
                <w:lang w:eastAsia="fr-FR"/>
              </w:rPr>
            </w:pPr>
            <w:r w:rsidRPr="008E08B4">
              <w:rPr>
                <w:rFonts w:ascii="Comic Sans MS" w:eastAsia="Times New Roman" w:hAnsi="Comic Sans MS" w:cs="Arial"/>
                <w:sz w:val="20"/>
                <w:szCs w:val="20"/>
                <w:lang w:eastAsia="fr-FR"/>
              </w:rPr>
              <w:t xml:space="preserve">Dans les comptes individuels, les droits de mutation, honoraires ou commissions et frais d’actes, liés à l’acquisition, peuvent sur option, être rattachés au coût d’acquisition de l’immobilisation ou comptabilisés en charges. </w:t>
            </w:r>
          </w:p>
          <w:p w:rsidR="008E08DC" w:rsidRPr="003739CE" w:rsidRDefault="008E08DC" w:rsidP="008E08DC">
            <w:pPr>
              <w:spacing w:after="0" w:line="240" w:lineRule="auto"/>
              <w:jc w:val="both"/>
              <w:rPr>
                <w:rFonts w:ascii="Comic Sans MS" w:eastAsia="Times New Roman" w:hAnsi="Comic Sans MS" w:cs="Arial"/>
                <w:b/>
                <w:sz w:val="20"/>
                <w:szCs w:val="20"/>
                <w:lang w:eastAsia="fr-FR"/>
              </w:rPr>
            </w:pPr>
            <w:r w:rsidRPr="003739CE">
              <w:rPr>
                <w:rFonts w:ascii="Comic Sans MS" w:eastAsia="Calibri" w:hAnsi="Comic Sans MS"/>
                <w:b/>
                <w:sz w:val="20"/>
                <w:szCs w:val="20"/>
              </w:rPr>
              <w:t>Aventur’buggy</w:t>
            </w:r>
            <w:r w:rsidR="00DB05EA" w:rsidRPr="003739CE">
              <w:rPr>
                <w:rFonts w:ascii="Comic Sans MS" w:eastAsia="Calibri" w:hAnsi="Comic Sans MS"/>
                <w:b/>
                <w:sz w:val="20"/>
                <w:szCs w:val="20"/>
              </w:rPr>
              <w:t xml:space="preserve"> investit : voici les 3 factures du mois de janvier :</w:t>
            </w:r>
          </w:p>
          <w:p w:rsidR="008E08DC" w:rsidRPr="008E08B4" w:rsidRDefault="008E08DC" w:rsidP="008E08DC">
            <w:pPr>
              <w:spacing w:after="0" w:line="240" w:lineRule="auto"/>
              <w:jc w:val="both"/>
              <w:rPr>
                <w:rFonts w:ascii="Comic Sans MS" w:eastAsia="Times New Roman" w:hAnsi="Comic Sans MS" w:cs="Arial"/>
                <w:sz w:val="20"/>
                <w:szCs w:val="20"/>
                <w:lang w:eastAsia="fr-FR"/>
              </w:rPr>
            </w:pPr>
          </w:p>
        </w:tc>
      </w:tr>
    </w:tbl>
    <w:p w:rsidR="008E08B4" w:rsidRDefault="008E08DC" w:rsidP="008E08DC">
      <w:pPr>
        <w:spacing w:after="0" w:line="240" w:lineRule="auto"/>
        <w:jc w:val="center"/>
        <w:rPr>
          <w:rFonts w:ascii="Comic Sans MS" w:hAnsi="Comic Sans MS"/>
          <w:sz w:val="20"/>
          <w:szCs w:val="20"/>
        </w:rPr>
      </w:pPr>
      <w:r w:rsidRPr="008E08DC">
        <w:rPr>
          <w:rFonts w:ascii="Comic Sans MS" w:hAnsi="Comic Sans MS"/>
          <w:noProof/>
          <w:sz w:val="20"/>
          <w:szCs w:val="20"/>
          <w:lang w:eastAsia="fr-FR"/>
        </w:rPr>
        <w:drawing>
          <wp:inline distT="0" distB="0" distL="0" distR="0" wp14:anchorId="387211D4" wp14:editId="0B22CC28">
            <wp:extent cx="5380989" cy="2009775"/>
            <wp:effectExtent l="0" t="0" r="0" b="0"/>
            <wp:docPr id="2" name="Image 2" descr="C:\Users\Cathy\Documents\GESTION FINANCE TN Apprenti\C2 Op investissement et financement\Factures im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thy\Documents\GESTION FINANCE TN Apprenti\C2 Op investissement et financement\Factures imm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21" t="29674" r="13796" b="48953"/>
                    <a:stretch/>
                  </pic:blipFill>
                  <pic:spPr bwMode="auto">
                    <a:xfrm>
                      <a:off x="0" y="0"/>
                      <a:ext cx="5382105" cy="2010192"/>
                    </a:xfrm>
                    <a:prstGeom prst="rect">
                      <a:avLst/>
                    </a:prstGeom>
                    <a:noFill/>
                    <a:ln>
                      <a:noFill/>
                    </a:ln>
                    <a:extLst>
                      <a:ext uri="{53640926-AAD7-44D8-BBD7-CCE9431645EC}">
                        <a14:shadowObscured xmlns:a14="http://schemas.microsoft.com/office/drawing/2010/main"/>
                      </a:ext>
                    </a:extLst>
                  </pic:spPr>
                </pic:pic>
              </a:graphicData>
            </a:graphic>
          </wp:inline>
        </w:drawing>
      </w:r>
    </w:p>
    <w:p w:rsidR="00DB05EA" w:rsidRDefault="00DB05EA" w:rsidP="00DB05EA">
      <w:pPr>
        <w:pStyle w:val="Paragraphedeliste"/>
        <w:numPr>
          <w:ilvl w:val="0"/>
          <w:numId w:val="4"/>
        </w:numPr>
        <w:spacing w:after="0" w:line="240" w:lineRule="auto"/>
        <w:rPr>
          <w:rFonts w:ascii="Comic Sans MS" w:hAnsi="Comic Sans MS"/>
          <w:sz w:val="20"/>
          <w:szCs w:val="20"/>
        </w:rPr>
      </w:pPr>
      <w:r>
        <w:rPr>
          <w:rFonts w:ascii="Comic Sans MS" w:hAnsi="Comic Sans MS"/>
          <w:sz w:val="20"/>
          <w:szCs w:val="20"/>
        </w:rPr>
        <w:t>Calculer les coûts d’acquisition</w:t>
      </w:r>
    </w:p>
    <w:p w:rsidR="00DB05EA" w:rsidRDefault="00DB05EA" w:rsidP="00DB05EA">
      <w:pPr>
        <w:pStyle w:val="Paragraphedeliste"/>
        <w:numPr>
          <w:ilvl w:val="0"/>
          <w:numId w:val="4"/>
        </w:numPr>
        <w:spacing w:after="0" w:line="240" w:lineRule="auto"/>
        <w:rPr>
          <w:rFonts w:ascii="Comic Sans MS" w:hAnsi="Comic Sans MS"/>
          <w:sz w:val="20"/>
          <w:szCs w:val="20"/>
        </w:rPr>
      </w:pPr>
      <w:r>
        <w:rPr>
          <w:rFonts w:ascii="Comic Sans MS" w:hAnsi="Comic Sans MS"/>
          <w:sz w:val="20"/>
          <w:szCs w:val="20"/>
        </w:rPr>
        <w:t>Enregistrer ses opérations :</w:t>
      </w:r>
    </w:p>
    <w:p w:rsidR="003739CE" w:rsidRDefault="003739CE" w:rsidP="003739CE">
      <w:pPr>
        <w:spacing w:after="0" w:line="240" w:lineRule="auto"/>
        <w:rPr>
          <w:rFonts w:ascii="Comic Sans MS" w:hAnsi="Comic Sans MS"/>
          <w:sz w:val="20"/>
          <w:szCs w:val="20"/>
        </w:rPr>
      </w:pPr>
    </w:p>
    <w:p w:rsidR="003739CE" w:rsidRDefault="003739CE" w:rsidP="003739CE">
      <w:pPr>
        <w:spacing w:after="0" w:line="240" w:lineRule="auto"/>
        <w:rPr>
          <w:rFonts w:ascii="Comic Sans MS" w:hAnsi="Comic Sans MS"/>
          <w:b/>
          <w:sz w:val="20"/>
          <w:szCs w:val="20"/>
        </w:rPr>
      </w:pPr>
      <w:r>
        <w:rPr>
          <w:rFonts w:ascii="Comic Sans MS" w:hAnsi="Comic Sans MS"/>
          <w:noProof/>
          <w:sz w:val="20"/>
          <w:szCs w:val="20"/>
          <w:lang w:eastAsia="fr-FR"/>
        </w:rPr>
        <mc:AlternateContent>
          <mc:Choice Requires="wps">
            <w:drawing>
              <wp:anchor distT="0" distB="0" distL="114300" distR="114300" simplePos="0" relativeHeight="251659264" behindDoc="0" locked="0" layoutInCell="1" allowOverlap="1" wp14:anchorId="1E25829C" wp14:editId="20105A70">
                <wp:simplePos x="0" y="0"/>
                <wp:positionH relativeFrom="column">
                  <wp:posOffset>3745230</wp:posOffset>
                </wp:positionH>
                <wp:positionV relativeFrom="paragraph">
                  <wp:posOffset>13335</wp:posOffset>
                </wp:positionV>
                <wp:extent cx="2247265" cy="1524000"/>
                <wp:effectExtent l="0" t="0" r="19685" b="19050"/>
                <wp:wrapNone/>
                <wp:docPr id="4" name="Zone de texte 4"/>
                <wp:cNvGraphicFramePr/>
                <a:graphic xmlns:a="http://schemas.openxmlformats.org/drawingml/2006/main">
                  <a:graphicData uri="http://schemas.microsoft.com/office/word/2010/wordprocessingShape">
                    <wps:wsp>
                      <wps:cNvSpPr txBox="1"/>
                      <wps:spPr>
                        <a:xfrm>
                          <a:off x="0" y="0"/>
                          <a:ext cx="2247265" cy="1524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739CE" w:rsidRDefault="003739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25829C" id="_x0000_t202" coordsize="21600,21600" o:spt="202" path="m,l,21600r21600,l21600,xe">
                <v:stroke joinstyle="miter"/>
                <v:path gradientshapeok="t" o:connecttype="rect"/>
              </v:shapetype>
              <v:shape id="Zone de texte 4" o:spid="_x0000_s1026" type="#_x0000_t202" style="position:absolute;margin-left:294.9pt;margin-top:1.05pt;width:176.9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" fillcolor="white [3201]" strokecolor="white [3212]" strokeweight=".5pt">
                <v:textbox>
                  <w:txbxContent>
                    <w:p w:rsidR="003739CE" w:rsidRDefault="003739CE"/>
                  </w:txbxContent>
                </v:textbox>
              </v:shape>
            </w:pict>
          </mc:Fallback>
        </mc:AlternateContent>
      </w:r>
      <w:r w:rsidRPr="003739CE">
        <w:rPr>
          <w:rFonts w:ascii="Comic Sans MS" w:hAnsi="Comic Sans MS"/>
          <w:b/>
          <w:sz w:val="20"/>
          <w:szCs w:val="20"/>
        </w:rPr>
        <w:t>Exercice</w:t>
      </w:r>
    </w:p>
    <w:p w:rsidR="003739CE" w:rsidRDefault="003739CE" w:rsidP="003739CE">
      <w:pPr>
        <w:spacing w:after="0" w:line="240" w:lineRule="auto"/>
        <w:jc w:val="center"/>
        <w:rPr>
          <w:rFonts w:ascii="Comic Sans MS" w:hAnsi="Comic Sans MS"/>
          <w:sz w:val="20"/>
          <w:szCs w:val="20"/>
        </w:rPr>
      </w:pPr>
      <w:r w:rsidRPr="003739CE">
        <w:rPr>
          <w:rFonts w:ascii="Comic Sans MS" w:hAnsi="Comic Sans MS"/>
          <w:noProof/>
          <w:sz w:val="20"/>
          <w:szCs w:val="20"/>
          <w:lang w:eastAsia="fr-FR"/>
        </w:rPr>
        <w:drawing>
          <wp:inline distT="0" distB="0" distL="0" distR="0">
            <wp:extent cx="5152390" cy="4466095"/>
            <wp:effectExtent l="0" t="0" r="0" b="0"/>
            <wp:docPr id="3" name="Image 3" descr="C:\Users\Cathy\Documents\GESTION FINANCE TN Apprenti\C2 Op investissement et financement\Exo facture im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thy\Documents\GESTION FINANCE TN Apprenti\C2 Op investissement et financement\Exo facture immo.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521" t="6281" r="17131" b="46220"/>
                    <a:stretch/>
                  </pic:blipFill>
                  <pic:spPr bwMode="auto">
                    <a:xfrm>
                      <a:off x="0" y="0"/>
                      <a:ext cx="5154020" cy="4467508"/>
                    </a:xfrm>
                    <a:prstGeom prst="rect">
                      <a:avLst/>
                    </a:prstGeom>
                    <a:noFill/>
                    <a:ln>
                      <a:noFill/>
                    </a:ln>
                    <a:extLst>
                      <a:ext uri="{53640926-AAD7-44D8-BBD7-CCE9431645EC}">
                        <a14:shadowObscured xmlns:a14="http://schemas.microsoft.com/office/drawing/2010/main"/>
                      </a:ext>
                    </a:extLst>
                  </pic:spPr>
                </pic:pic>
              </a:graphicData>
            </a:graphic>
          </wp:inline>
        </w:drawing>
      </w:r>
    </w:p>
    <w:p w:rsidR="00963090" w:rsidRDefault="00963090" w:rsidP="00963090">
      <w:pPr>
        <w:pStyle w:val="Titre2bis"/>
        <w:spacing w:before="0" w:after="0"/>
        <w:rPr>
          <w:rFonts w:ascii="Comic Sans MS" w:hAnsi="Comic Sans MS"/>
          <w:sz w:val="20"/>
        </w:rPr>
      </w:pPr>
      <w:r>
        <w:rPr>
          <w:rFonts w:ascii="Comic Sans MS" w:hAnsi="Comic Sans MS"/>
          <w:sz w:val="20"/>
        </w:rPr>
        <w:lastRenderedPageBreak/>
        <w:t xml:space="preserve">3. </w:t>
      </w:r>
      <w:r w:rsidRPr="0061608D">
        <w:rPr>
          <w:rFonts w:ascii="Comic Sans MS" w:hAnsi="Comic Sans MS"/>
          <w:sz w:val="20"/>
        </w:rPr>
        <w:t>Comparer les modes de financement</w:t>
      </w:r>
    </w:p>
    <w:p w:rsidR="00963090" w:rsidRPr="0061608D" w:rsidRDefault="00963090" w:rsidP="00963090">
      <w:pPr>
        <w:pStyle w:val="Sous-titreAcours"/>
        <w:spacing w:after="0"/>
        <w:ind w:firstLine="0"/>
        <w:rPr>
          <w:rFonts w:ascii="Comic Sans MS" w:eastAsia="Arial" w:hAnsi="Comic Sans MS"/>
          <w:sz w:val="20"/>
          <w:szCs w:val="20"/>
        </w:rPr>
      </w:pPr>
      <w:r>
        <w:rPr>
          <w:rFonts w:ascii="Comic Sans MS" w:hAnsi="Comic Sans MS"/>
          <w:sz w:val="20"/>
          <w:szCs w:val="20"/>
        </w:rPr>
        <w:t xml:space="preserve">3.1 </w:t>
      </w:r>
      <w:r w:rsidRPr="0061608D">
        <w:rPr>
          <w:rFonts w:ascii="Comic Sans MS" w:hAnsi="Comic Sans MS"/>
          <w:sz w:val="20"/>
          <w:szCs w:val="20"/>
        </w:rPr>
        <w:t>Le financement interne : l’autofinancement</w:t>
      </w:r>
      <w:r w:rsidRPr="0061608D">
        <w:rPr>
          <w:rFonts w:ascii="Comic Sans MS" w:eastAsia="Arial" w:hAnsi="Comic Sans MS"/>
          <w:sz w:val="20"/>
          <w:szCs w:val="20"/>
        </w:rPr>
        <w:t xml:space="preserve"> </w:t>
      </w:r>
    </w:p>
    <w:p w:rsidR="00624200" w:rsidRDefault="00963090" w:rsidP="00963090">
      <w:pPr>
        <w:pStyle w:val="Texte"/>
        <w:spacing w:after="0" w:line="240" w:lineRule="auto"/>
        <w:rPr>
          <w:rFonts w:ascii="Comic Sans MS" w:hAnsi="Comic Sans MS"/>
          <w:sz w:val="20"/>
          <w:szCs w:val="20"/>
        </w:rPr>
      </w:pPr>
      <w:r w:rsidRPr="0061608D">
        <w:rPr>
          <w:rFonts w:ascii="Comic Sans MS" w:hAnsi="Comic Sans MS"/>
          <w:sz w:val="20"/>
          <w:szCs w:val="20"/>
        </w:rPr>
        <w:t>Un agent économique dispose d’un autofinancement lorsqu’il finance son activité économique par ses ressources propres. Il s</w:t>
      </w:r>
      <w:r w:rsidR="00624200">
        <w:rPr>
          <w:rFonts w:ascii="Comic Sans MS" w:hAnsi="Comic Sans MS"/>
          <w:sz w:val="20"/>
          <w:szCs w:val="20"/>
        </w:rPr>
        <w:t xml:space="preserve">’agit d’un financement interne. </w:t>
      </w:r>
      <w:r w:rsidRPr="0061608D">
        <w:rPr>
          <w:rFonts w:ascii="Comic Sans MS" w:hAnsi="Comic Sans MS"/>
          <w:sz w:val="20"/>
          <w:szCs w:val="20"/>
        </w:rPr>
        <w:t xml:space="preserve">Pour les entreprises, l’autofinancement correspond à l’ensemble des bénéfices réalisés par le passé et non distribués aux associés ou actionnaires. </w:t>
      </w:r>
    </w:p>
    <w:p w:rsidR="00963090" w:rsidRPr="0061608D" w:rsidRDefault="00963090" w:rsidP="00963090">
      <w:pPr>
        <w:pStyle w:val="Texte"/>
        <w:spacing w:after="0" w:line="240" w:lineRule="auto"/>
        <w:rPr>
          <w:rFonts w:ascii="Comic Sans MS" w:hAnsi="Comic Sans MS"/>
          <w:sz w:val="20"/>
          <w:szCs w:val="20"/>
        </w:rPr>
      </w:pPr>
      <w:r w:rsidRPr="0061608D">
        <w:rPr>
          <w:rFonts w:ascii="Comic Sans MS" w:hAnsi="Comic Sans MS"/>
          <w:sz w:val="20"/>
          <w:szCs w:val="20"/>
        </w:rPr>
        <w:t>En France, le taux d’autofinancement des entreprises se stabilise autour de 75 % depuis 2011.</w:t>
      </w:r>
    </w:p>
    <w:p w:rsidR="00963090" w:rsidRDefault="00963090" w:rsidP="00963090">
      <w:pPr>
        <w:pStyle w:val="Texte"/>
        <w:spacing w:after="0" w:line="240" w:lineRule="auto"/>
        <w:rPr>
          <w:rFonts w:ascii="Comic Sans MS" w:hAnsi="Comic Sans MS"/>
          <w:sz w:val="20"/>
          <w:szCs w:val="20"/>
        </w:rPr>
      </w:pPr>
      <w:r w:rsidRPr="0061608D">
        <w:rPr>
          <w:rFonts w:ascii="Comic Sans MS" w:hAnsi="Comic Sans MS"/>
          <w:sz w:val="20"/>
          <w:szCs w:val="20"/>
        </w:rPr>
        <w:t>L’autofinancement permet aux entreprises de financer une partie de leur croissance tout en étant gage de liberté et d’indépendance financière.</w:t>
      </w:r>
    </w:p>
    <w:p w:rsidR="00963090" w:rsidRPr="00FF483F" w:rsidRDefault="00963090" w:rsidP="00963090">
      <w:pPr>
        <w:pStyle w:val="Texte"/>
        <w:spacing w:after="0" w:line="240" w:lineRule="auto"/>
        <w:rPr>
          <w:rFonts w:ascii="Comic Sans MS" w:hAnsi="Comic Sans MS"/>
          <w:sz w:val="20"/>
          <w:szCs w:val="20"/>
        </w:rPr>
      </w:pPr>
      <w:r>
        <w:rPr>
          <w:rFonts w:ascii="Comic Sans MS" w:hAnsi="Comic Sans MS" w:cs="Arial"/>
          <w:b/>
          <w:bCs/>
          <w:sz w:val="20"/>
          <w:szCs w:val="20"/>
        </w:rPr>
        <w:t xml:space="preserve">3.2 </w:t>
      </w:r>
      <w:r w:rsidRPr="0061608D">
        <w:rPr>
          <w:rFonts w:ascii="Comic Sans MS" w:hAnsi="Comic Sans MS" w:cs="Arial"/>
          <w:b/>
          <w:bCs/>
          <w:sz w:val="20"/>
          <w:szCs w:val="20"/>
        </w:rPr>
        <w:t>Le financement externe</w:t>
      </w:r>
    </w:p>
    <w:p w:rsidR="00963090" w:rsidRPr="0061608D" w:rsidRDefault="00963090" w:rsidP="00963090">
      <w:pPr>
        <w:pStyle w:val="Texte"/>
        <w:spacing w:after="0" w:line="240" w:lineRule="auto"/>
        <w:rPr>
          <w:rFonts w:ascii="Comic Sans MS" w:hAnsi="Comic Sans MS"/>
          <w:sz w:val="20"/>
          <w:szCs w:val="20"/>
        </w:rPr>
      </w:pPr>
      <w:r w:rsidRPr="0061608D">
        <w:rPr>
          <w:rFonts w:ascii="Comic Sans MS" w:hAnsi="Comic Sans MS"/>
          <w:sz w:val="20"/>
          <w:szCs w:val="20"/>
        </w:rPr>
        <w:t>Lorsqu’un agent économique ne dispose pas d’un autofinancement suffisant, il doit rechercher des financements extérieurs. Il existe deux modalités de financement externe.</w:t>
      </w:r>
    </w:p>
    <w:p w:rsidR="00963090" w:rsidRPr="0061608D" w:rsidRDefault="00963090" w:rsidP="00963090">
      <w:pPr>
        <w:pStyle w:val="Sous-soustitre1cours"/>
        <w:spacing w:before="0" w:after="0" w:line="240" w:lineRule="auto"/>
        <w:rPr>
          <w:rFonts w:ascii="Comic Sans MS" w:hAnsi="Comic Sans MS"/>
          <w:sz w:val="20"/>
          <w:szCs w:val="20"/>
        </w:rPr>
      </w:pPr>
      <w:r w:rsidRPr="0061608D">
        <w:rPr>
          <w:rFonts w:ascii="Comic Sans MS" w:hAnsi="Comic Sans MS"/>
          <w:sz w:val="20"/>
          <w:szCs w:val="20"/>
        </w:rPr>
        <w:t>1. Le financement indirect</w:t>
      </w:r>
    </w:p>
    <w:p w:rsidR="00963090" w:rsidRPr="0061608D" w:rsidRDefault="00963090" w:rsidP="00963090">
      <w:pPr>
        <w:pStyle w:val="Texte"/>
        <w:spacing w:after="0" w:line="240" w:lineRule="auto"/>
        <w:rPr>
          <w:rFonts w:ascii="Comic Sans MS" w:hAnsi="Comic Sans MS"/>
          <w:sz w:val="20"/>
          <w:szCs w:val="20"/>
        </w:rPr>
      </w:pPr>
      <w:r w:rsidRPr="0061608D">
        <w:rPr>
          <w:rFonts w:ascii="Comic Sans MS" w:hAnsi="Comic Sans MS"/>
          <w:sz w:val="20"/>
          <w:szCs w:val="20"/>
        </w:rPr>
        <w:t>On parle de financement indirect pour désigner le financement par le crédit réalisé par l’intermédiaire des banques. Les banques jouent un rôle d’intermédiation entre l’offre et la demande de capitaux, c’est-à-dire entre les prêteurs et les emprunteurs : elles réalisent la transformation de l’épargne à court terme déposée par les prêteurs en crédits à long terme auprès des emprunteurs.</w:t>
      </w:r>
    </w:p>
    <w:p w:rsidR="00963090" w:rsidRPr="0061608D" w:rsidRDefault="00963090" w:rsidP="00963090">
      <w:pPr>
        <w:tabs>
          <w:tab w:val="left" w:pos="284"/>
        </w:tabs>
        <w:spacing w:after="0" w:line="240" w:lineRule="auto"/>
        <w:ind w:firstLine="567"/>
        <w:jc w:val="both"/>
        <w:rPr>
          <w:rFonts w:ascii="Comic Sans MS" w:hAnsi="Comic Sans MS"/>
          <w:b/>
          <w:sz w:val="20"/>
          <w:szCs w:val="20"/>
        </w:rPr>
      </w:pPr>
      <w:r w:rsidRPr="0061608D">
        <w:rPr>
          <w:rFonts w:ascii="Comic Sans MS" w:hAnsi="Comic Sans MS"/>
          <w:b/>
          <w:sz w:val="20"/>
          <w:szCs w:val="20"/>
        </w:rPr>
        <w:t>2. Le financement direct</w:t>
      </w:r>
    </w:p>
    <w:p w:rsidR="00963090" w:rsidRPr="0061608D" w:rsidRDefault="00963090" w:rsidP="00963090">
      <w:pPr>
        <w:pStyle w:val="Texte"/>
        <w:spacing w:after="0" w:line="240" w:lineRule="auto"/>
        <w:rPr>
          <w:rFonts w:ascii="Comic Sans MS" w:hAnsi="Comic Sans MS"/>
          <w:sz w:val="20"/>
          <w:szCs w:val="20"/>
        </w:rPr>
      </w:pPr>
      <w:r w:rsidRPr="0061608D">
        <w:rPr>
          <w:rFonts w:ascii="Comic Sans MS" w:hAnsi="Comic Sans MS"/>
          <w:sz w:val="20"/>
          <w:szCs w:val="20"/>
        </w:rPr>
        <w:t>On parle de financement direct pour désigner le financement par la rencontre directe entre les agents à besoin de financement (les emprunteurs) et les agents à capacité de financement (les prêteurs) sur les marchés de capitaux. Dans la finance directe, les agents à besoin de financement et les agents à capacité de financement se rencontrent directement sur les marchés, par l’échange de titres financiers contre des liquidités.</w:t>
      </w:r>
    </w:p>
    <w:p w:rsidR="00963090" w:rsidRPr="0061608D" w:rsidRDefault="00963090" w:rsidP="00963090">
      <w:pPr>
        <w:pStyle w:val="Texte"/>
        <w:spacing w:after="0" w:line="240" w:lineRule="auto"/>
        <w:rPr>
          <w:rFonts w:ascii="Comic Sans MS" w:hAnsi="Comic Sans MS"/>
          <w:sz w:val="20"/>
          <w:szCs w:val="20"/>
        </w:rPr>
      </w:pPr>
      <w:r w:rsidRPr="0061608D">
        <w:rPr>
          <w:rFonts w:ascii="Comic Sans MS" w:hAnsi="Comic Sans MS"/>
          <w:sz w:val="20"/>
          <w:szCs w:val="20"/>
        </w:rPr>
        <w:t xml:space="preserve">Les marchés de capitaux se composent : </w:t>
      </w:r>
    </w:p>
    <w:p w:rsidR="00963090" w:rsidRPr="0061608D" w:rsidRDefault="00963090" w:rsidP="00963090">
      <w:pPr>
        <w:pStyle w:val="Texte"/>
        <w:spacing w:after="0" w:line="240" w:lineRule="auto"/>
        <w:rPr>
          <w:rFonts w:ascii="Comic Sans MS" w:hAnsi="Comic Sans MS"/>
          <w:sz w:val="20"/>
          <w:szCs w:val="20"/>
        </w:rPr>
      </w:pPr>
      <w:r w:rsidRPr="0061608D">
        <w:rPr>
          <w:rFonts w:ascii="Comic Sans MS" w:hAnsi="Comic Sans MS"/>
          <w:sz w:val="20"/>
          <w:szCs w:val="20"/>
        </w:rPr>
        <w:t>– du marché monétaire, qui permet la rencontre entre l’offre et la demande de capitaux sur le court terme (moins d’un an) : il se compose d’un marché interbancaire, réservé aux banques pour faire face à leurs besoins de liquidités, et d’un marché des titres de créances négociables, ouvert à tous ;</w:t>
      </w:r>
    </w:p>
    <w:p w:rsidR="00963090" w:rsidRPr="0061608D" w:rsidRDefault="00963090" w:rsidP="00963090">
      <w:pPr>
        <w:pStyle w:val="Texte"/>
        <w:spacing w:after="0" w:line="240" w:lineRule="auto"/>
        <w:rPr>
          <w:rFonts w:ascii="Comic Sans MS" w:hAnsi="Comic Sans MS"/>
          <w:sz w:val="20"/>
          <w:szCs w:val="20"/>
        </w:rPr>
      </w:pPr>
      <w:r w:rsidRPr="0061608D">
        <w:rPr>
          <w:rFonts w:ascii="Comic Sans MS" w:hAnsi="Comic Sans MS"/>
          <w:sz w:val="20"/>
          <w:szCs w:val="20"/>
        </w:rPr>
        <w:t>– du marché financier, qui permet la rencontre entre l’offre et la demande de capitaux sur le long terme. Sur le marché financier, les agents à besoin de financement émettent des titres à long terme pour financer leurs investissements, actions et obligations, qui sont achetés par des agents à capacité de financement souhaitant placer leur épargne. Le marché financier émet différents types de titres, ou « valeurs mobilières », dont les principaux sont les actions et les obligations :</w:t>
      </w:r>
    </w:p>
    <w:p w:rsidR="00963090" w:rsidRPr="0061608D" w:rsidRDefault="00963090" w:rsidP="00963090">
      <w:pPr>
        <w:pStyle w:val="Texte"/>
        <w:spacing w:after="0" w:line="240" w:lineRule="auto"/>
        <w:rPr>
          <w:rFonts w:ascii="Comic Sans MS" w:hAnsi="Comic Sans MS"/>
          <w:sz w:val="20"/>
          <w:szCs w:val="20"/>
        </w:rPr>
      </w:pPr>
      <w:r w:rsidRPr="0061608D">
        <w:rPr>
          <w:rFonts w:ascii="Comic Sans MS" w:hAnsi="Comic Sans MS"/>
          <w:sz w:val="20"/>
          <w:szCs w:val="20"/>
        </w:rPr>
        <w:t>– une action représente un titre de propriété et correspond à une part du capital social d’une entreprise. Elle donne droit à une rémunération, dénommée « dividende », dont le montant varie selon les résultats de l’entreprise et selon sa politique de distribution des dividendes. Elle permet également à l’actionnaire de participer à la gestion de l’entreprise en disposant d’un droit de vote aux assemblées générales ;</w:t>
      </w:r>
    </w:p>
    <w:p w:rsidR="00963090" w:rsidRPr="0061608D" w:rsidRDefault="00963090" w:rsidP="00963090">
      <w:pPr>
        <w:pStyle w:val="Texte"/>
        <w:spacing w:after="0" w:line="240" w:lineRule="auto"/>
        <w:rPr>
          <w:rFonts w:ascii="Comic Sans MS" w:hAnsi="Comic Sans MS"/>
          <w:sz w:val="20"/>
          <w:szCs w:val="20"/>
        </w:rPr>
      </w:pPr>
      <w:r w:rsidRPr="0061608D">
        <w:rPr>
          <w:rFonts w:ascii="Comic Sans MS" w:hAnsi="Comic Sans MS"/>
          <w:sz w:val="20"/>
          <w:szCs w:val="20"/>
        </w:rPr>
        <w:t>– une obligation est un titre de créance à long terme émis par une entreprise ou une administration publique qui souhaite emprunter des fonds. Elle donne lieu au versement d’une rémunération fixe (dénommée « coupon »), dont le montant est défini à l’émission du titre. Elle s’exprime so</w:t>
      </w:r>
      <w:r w:rsidR="00624200">
        <w:rPr>
          <w:rFonts w:ascii="Comic Sans MS" w:hAnsi="Comic Sans MS"/>
          <w:sz w:val="20"/>
          <w:szCs w:val="20"/>
        </w:rPr>
        <w:t>us la forme d’un taux d’intérêt</w:t>
      </w:r>
      <w:r w:rsidRPr="0061608D">
        <w:rPr>
          <w:rFonts w:ascii="Comic Sans MS" w:hAnsi="Comic Sans MS"/>
          <w:sz w:val="20"/>
          <w:szCs w:val="20"/>
        </w:rPr>
        <w:t>.</w:t>
      </w:r>
    </w:p>
    <w:p w:rsidR="00624200" w:rsidRDefault="00624200" w:rsidP="00963090">
      <w:pPr>
        <w:spacing w:after="0" w:line="240" w:lineRule="auto"/>
        <w:jc w:val="both"/>
        <w:rPr>
          <w:rFonts w:ascii="Comic Sans MS" w:hAnsi="Comic Sans MS"/>
          <w:sz w:val="20"/>
          <w:szCs w:val="20"/>
        </w:rPr>
      </w:pPr>
      <w:r>
        <w:rPr>
          <w:rFonts w:ascii="Comic Sans MS" w:hAnsi="Comic Sans MS"/>
          <w:noProof/>
          <w:sz w:val="20"/>
          <w:szCs w:val="20"/>
          <w:lang w:eastAsia="fr-FR"/>
        </w:rPr>
        <mc:AlternateContent>
          <mc:Choice Requires="wps">
            <w:drawing>
              <wp:anchor distT="0" distB="0" distL="114300" distR="114300" simplePos="0" relativeHeight="251660288" behindDoc="0" locked="0" layoutInCell="1" allowOverlap="1">
                <wp:simplePos x="0" y="0"/>
                <wp:positionH relativeFrom="column">
                  <wp:posOffset>163830</wp:posOffset>
                </wp:positionH>
                <wp:positionV relativeFrom="paragraph">
                  <wp:posOffset>137160</wp:posOffset>
                </wp:positionV>
                <wp:extent cx="6353175" cy="419100"/>
                <wp:effectExtent l="0" t="0" r="28575" b="19050"/>
                <wp:wrapNone/>
                <wp:docPr id="5" name="Ellipse 5"/>
                <wp:cNvGraphicFramePr/>
                <a:graphic xmlns:a="http://schemas.openxmlformats.org/drawingml/2006/main">
                  <a:graphicData uri="http://schemas.microsoft.com/office/word/2010/wordprocessingShape">
                    <wps:wsp>
                      <wps:cNvSpPr/>
                      <wps:spPr>
                        <a:xfrm>
                          <a:off x="0" y="0"/>
                          <a:ext cx="6353175"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4200" w:rsidRPr="00624200" w:rsidRDefault="00624200" w:rsidP="00624200">
                            <w:pPr>
                              <w:jc w:val="center"/>
                              <w:rPr>
                                <w:rFonts w:ascii="Comic Sans MS" w:hAnsi="Comic Sans MS"/>
                              </w:rPr>
                            </w:pPr>
                            <w:r w:rsidRPr="00624200">
                              <w:rPr>
                                <w:rFonts w:ascii="Comic Sans MS" w:hAnsi="Comic Sans MS"/>
                              </w:rPr>
                              <w:t>Les modes de financement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5" o:spid="_x0000_s1027" style="position:absolute;left:0;text-align:left;margin-left:12.9pt;margin-top:10.8pt;width:500.25pt;height:3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" fillcolor="white [3201]" strokecolor="black [3213]" strokeweight="1pt">
                <v:stroke joinstyle="miter"/>
                <v:textbox>
                  <w:txbxContent>
                    <w:p w:rsidR="00624200" w:rsidRPr="00624200" w:rsidRDefault="00624200" w:rsidP="00624200">
                      <w:pPr>
                        <w:jc w:val="center"/>
                        <w:rPr>
                          <w:rFonts w:ascii="Comic Sans MS" w:hAnsi="Comic Sans MS"/>
                        </w:rPr>
                      </w:pPr>
                      <w:r w:rsidRPr="00624200">
                        <w:rPr>
                          <w:rFonts w:ascii="Comic Sans MS" w:hAnsi="Comic Sans MS"/>
                        </w:rPr>
                        <w:t>Les modes de financement</w:t>
                      </w:r>
                    </w:p>
                  </w:txbxContent>
                </v:textbox>
              </v:oval>
            </w:pict>
          </mc:Fallback>
        </mc:AlternateContent>
      </w:r>
    </w:p>
    <w:p w:rsidR="00624200" w:rsidRPr="00624200" w:rsidRDefault="00624200" w:rsidP="00624200">
      <w:pPr>
        <w:rPr>
          <w:rFonts w:ascii="Comic Sans MS" w:hAnsi="Comic Sans MS"/>
          <w:sz w:val="20"/>
          <w:szCs w:val="20"/>
        </w:rPr>
      </w:pPr>
    </w:p>
    <w:p w:rsidR="00624200" w:rsidRDefault="007047B8" w:rsidP="00624200">
      <w:pPr>
        <w:rPr>
          <w:rFonts w:ascii="Comic Sans MS" w:hAnsi="Comic Sans MS"/>
          <w:sz w:val="20"/>
          <w:szCs w:val="20"/>
        </w:rPr>
      </w:pPr>
      <w:r>
        <w:rPr>
          <w:rFonts w:ascii="Comic Sans MS" w:hAnsi="Comic Sans MS"/>
          <w:noProof/>
          <w:sz w:val="20"/>
          <w:szCs w:val="20"/>
          <w:lang w:eastAsia="fr-FR"/>
        </w:rPr>
        <mc:AlternateContent>
          <mc:Choice Requires="wps">
            <w:drawing>
              <wp:anchor distT="0" distB="0" distL="114300" distR="114300" simplePos="0" relativeHeight="251668480" behindDoc="0" locked="0" layoutInCell="1" allowOverlap="1">
                <wp:simplePos x="0" y="0"/>
                <wp:positionH relativeFrom="column">
                  <wp:posOffset>3088005</wp:posOffset>
                </wp:positionH>
                <wp:positionV relativeFrom="paragraph">
                  <wp:posOffset>84455</wp:posOffset>
                </wp:positionV>
                <wp:extent cx="695325" cy="295275"/>
                <wp:effectExtent l="0" t="0" r="66675" b="66675"/>
                <wp:wrapNone/>
                <wp:docPr id="11" name="Connecteur droit avec flèche 11"/>
                <wp:cNvGraphicFramePr/>
                <a:graphic xmlns:a="http://schemas.openxmlformats.org/drawingml/2006/main">
                  <a:graphicData uri="http://schemas.microsoft.com/office/word/2010/wordprocessingShape">
                    <wps:wsp>
                      <wps:cNvCnPr/>
                      <wps:spPr>
                        <a:xfrm>
                          <a:off x="0" y="0"/>
                          <a:ext cx="69532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5D4AB4" id="_x0000_t32" coordsize="21600,21600" o:spt="32" o:oned="t" path="m,l21600,21600e" filled="f">
                <v:path arrowok="t" fillok="f" o:connecttype="none"/>
                <o:lock v:ext="edit" shapetype="t"/>
              </v:shapetype>
              <v:shape id="Connecteur droit avec flèche 11" o:spid="_x0000_s1026" type="#_x0000_t32" style="position:absolute;margin-left:243.15pt;margin-top:6.65pt;width:54.75pt;height:23.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" strokecolor="black [3200]" strokeweight=".5pt">
                <v:stroke endarrow="block" joinstyle="miter"/>
              </v:shape>
            </w:pict>
          </mc:Fallback>
        </mc:AlternateContent>
      </w:r>
      <w:r>
        <w:rPr>
          <w:rFonts w:ascii="Comic Sans MS" w:hAnsi="Comic Sans MS"/>
          <w:noProof/>
          <w:sz w:val="20"/>
          <w:szCs w:val="20"/>
          <w:lang w:eastAsia="fr-FR"/>
        </w:rPr>
        <mc:AlternateContent>
          <mc:Choice Requires="wps">
            <w:drawing>
              <wp:anchor distT="0" distB="0" distL="114300" distR="114300" simplePos="0" relativeHeight="251667456" behindDoc="0" locked="0" layoutInCell="1" allowOverlap="1">
                <wp:simplePos x="0" y="0"/>
                <wp:positionH relativeFrom="column">
                  <wp:posOffset>2354580</wp:posOffset>
                </wp:positionH>
                <wp:positionV relativeFrom="paragraph">
                  <wp:posOffset>74930</wp:posOffset>
                </wp:positionV>
                <wp:extent cx="714375" cy="304800"/>
                <wp:effectExtent l="38100" t="0" r="28575" b="57150"/>
                <wp:wrapNone/>
                <wp:docPr id="10" name="Connecteur droit avec flèche 10"/>
                <wp:cNvGraphicFramePr/>
                <a:graphic xmlns:a="http://schemas.openxmlformats.org/drawingml/2006/main">
                  <a:graphicData uri="http://schemas.microsoft.com/office/word/2010/wordprocessingShape">
                    <wps:wsp>
                      <wps:cNvCnPr/>
                      <wps:spPr>
                        <a:xfrm flipH="1">
                          <a:off x="0" y="0"/>
                          <a:ext cx="71437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0F6995" id="Connecteur droit avec flèche 10" o:spid="_x0000_s1026" type="#_x0000_t32" style="position:absolute;margin-left:185.4pt;margin-top:5.9pt;width:56.25pt;height:24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" strokecolor="black [3200]" strokeweight=".5pt">
                <v:stroke endarrow="block" joinstyle="miter"/>
              </v:shape>
            </w:pict>
          </mc:Fallback>
        </mc:AlternateContent>
      </w:r>
      <w:r>
        <w:rPr>
          <w:rFonts w:ascii="Comic Sans MS" w:hAnsi="Comic Sans MS"/>
          <w:noProof/>
          <w:sz w:val="20"/>
          <w:szCs w:val="20"/>
          <w:lang w:eastAsia="fr-FR"/>
        </w:rPr>
        <mc:AlternateContent>
          <mc:Choice Requires="wps">
            <w:drawing>
              <wp:anchor distT="0" distB="0" distL="114300" distR="114300" simplePos="0" relativeHeight="251661312" behindDoc="0" locked="0" layoutInCell="1" allowOverlap="1" wp14:anchorId="74F56ADA" wp14:editId="0611253C">
                <wp:simplePos x="0" y="0"/>
                <wp:positionH relativeFrom="margin">
                  <wp:align>left</wp:align>
                </wp:positionH>
                <wp:positionV relativeFrom="paragraph">
                  <wp:posOffset>282575</wp:posOffset>
                </wp:positionV>
                <wp:extent cx="2581275" cy="666750"/>
                <wp:effectExtent l="0" t="0" r="28575" b="19050"/>
                <wp:wrapNone/>
                <wp:docPr id="6" name="Ellipse 6"/>
                <wp:cNvGraphicFramePr/>
                <a:graphic xmlns:a="http://schemas.openxmlformats.org/drawingml/2006/main">
                  <a:graphicData uri="http://schemas.microsoft.com/office/word/2010/wordprocessingShape">
                    <wps:wsp>
                      <wps:cNvSpPr/>
                      <wps:spPr>
                        <a:xfrm>
                          <a:off x="0" y="0"/>
                          <a:ext cx="2581275" cy="666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4200" w:rsidRPr="00624200" w:rsidRDefault="00624200" w:rsidP="00624200">
                            <w:pPr>
                              <w:spacing w:after="0"/>
                              <w:jc w:val="center"/>
                              <w:rPr>
                                <w:rFonts w:ascii="Comic Sans MS" w:hAnsi="Comic Sans MS"/>
                                <w:sz w:val="20"/>
                                <w:szCs w:val="20"/>
                              </w:rPr>
                            </w:pPr>
                            <w:r w:rsidRPr="00624200">
                              <w:rPr>
                                <w:rFonts w:ascii="Comic Sans MS" w:hAnsi="Comic Sans MS"/>
                                <w:sz w:val="20"/>
                                <w:szCs w:val="20"/>
                              </w:rPr>
                              <w:t>Le financement interne</w:t>
                            </w:r>
                          </w:p>
                          <w:p w:rsidR="00624200" w:rsidRPr="00624200" w:rsidRDefault="00624200" w:rsidP="00624200">
                            <w:pPr>
                              <w:jc w:val="center"/>
                              <w:rPr>
                                <w:rFonts w:ascii="Comic Sans MS" w:hAnsi="Comic Sans MS"/>
                                <w:sz w:val="20"/>
                                <w:szCs w:val="20"/>
                              </w:rPr>
                            </w:pPr>
                            <w:r w:rsidRPr="00624200">
                              <w:rPr>
                                <w:rFonts w:ascii="Comic Sans MS" w:hAnsi="Comic Sans MS"/>
                                <w:sz w:val="20"/>
                                <w:szCs w:val="20"/>
                              </w:rPr>
                              <w:t>Autofinancement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56ADA" id="Ellipse 6" o:spid="_x0000_s1028" style="position:absolute;margin-left:0;margin-top:22.25pt;width:203.25pt;height:5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" fillcolor="white [3201]" strokecolor="black [3213]" strokeweight="1pt">
                <v:stroke joinstyle="miter"/>
                <v:textbox>
                  <w:txbxContent>
                    <w:p w:rsidR="00624200" w:rsidRPr="00624200" w:rsidRDefault="00624200" w:rsidP="00624200">
                      <w:pPr>
                        <w:spacing w:after="0"/>
                        <w:jc w:val="center"/>
                        <w:rPr>
                          <w:rFonts w:ascii="Comic Sans MS" w:hAnsi="Comic Sans MS"/>
                          <w:sz w:val="20"/>
                          <w:szCs w:val="20"/>
                        </w:rPr>
                      </w:pPr>
                      <w:r w:rsidRPr="00624200">
                        <w:rPr>
                          <w:rFonts w:ascii="Comic Sans MS" w:hAnsi="Comic Sans MS"/>
                          <w:sz w:val="20"/>
                          <w:szCs w:val="20"/>
                        </w:rPr>
                        <w:t>Le financement interne</w:t>
                      </w:r>
                    </w:p>
                    <w:p w:rsidR="00624200" w:rsidRPr="00624200" w:rsidRDefault="00624200" w:rsidP="00624200">
                      <w:pPr>
                        <w:jc w:val="center"/>
                        <w:rPr>
                          <w:rFonts w:ascii="Comic Sans MS" w:hAnsi="Comic Sans MS"/>
                          <w:sz w:val="20"/>
                          <w:szCs w:val="20"/>
                        </w:rPr>
                      </w:pPr>
                      <w:r w:rsidRPr="00624200">
                        <w:rPr>
                          <w:rFonts w:ascii="Comic Sans MS" w:hAnsi="Comic Sans MS"/>
                          <w:sz w:val="20"/>
                          <w:szCs w:val="20"/>
                        </w:rPr>
                        <w:t>Autofinancement</w:t>
                      </w:r>
                    </w:p>
                  </w:txbxContent>
                </v:textbox>
                <w10:wrap anchorx="margin"/>
              </v:oval>
            </w:pict>
          </mc:Fallback>
        </mc:AlternateContent>
      </w:r>
      <w:r w:rsidR="00624200">
        <w:rPr>
          <w:rFonts w:ascii="Comic Sans MS" w:hAnsi="Comic Sans MS"/>
          <w:noProof/>
          <w:sz w:val="20"/>
          <w:szCs w:val="20"/>
          <w:lang w:eastAsia="fr-FR"/>
        </w:rPr>
        <mc:AlternateContent>
          <mc:Choice Requires="wps">
            <w:drawing>
              <wp:anchor distT="0" distB="0" distL="114300" distR="114300" simplePos="0" relativeHeight="251663360" behindDoc="0" locked="0" layoutInCell="1" allowOverlap="1" wp14:anchorId="582C8C16" wp14:editId="400711DE">
                <wp:simplePos x="0" y="0"/>
                <wp:positionH relativeFrom="column">
                  <wp:posOffset>3516630</wp:posOffset>
                </wp:positionH>
                <wp:positionV relativeFrom="paragraph">
                  <wp:posOffset>292100</wp:posOffset>
                </wp:positionV>
                <wp:extent cx="2905125" cy="552450"/>
                <wp:effectExtent l="0" t="0" r="28575" b="19050"/>
                <wp:wrapNone/>
                <wp:docPr id="7" name="Ellipse 7"/>
                <wp:cNvGraphicFramePr/>
                <a:graphic xmlns:a="http://schemas.openxmlformats.org/drawingml/2006/main">
                  <a:graphicData uri="http://schemas.microsoft.com/office/word/2010/wordprocessingShape">
                    <wps:wsp>
                      <wps:cNvSpPr/>
                      <wps:spPr>
                        <a:xfrm>
                          <a:off x="0" y="0"/>
                          <a:ext cx="2905125" cy="55245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624200" w:rsidRDefault="00624200" w:rsidP="00624200">
                            <w:pPr>
                              <w:jc w:val="center"/>
                            </w:pPr>
                            <w:r>
                              <w:t>Le financement Externe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2C8C16" id="Ellipse 7" o:spid="_x0000_s1029" style="position:absolute;margin-left:276.9pt;margin-top:23pt;width:228.75pt;height:4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" fillcolor="window" strokecolor="windowText" strokeweight="1pt">
                <v:stroke joinstyle="miter"/>
                <v:textbox>
                  <w:txbxContent>
                    <w:p w:rsidR="00624200" w:rsidRDefault="00624200" w:rsidP="00624200">
                      <w:pPr>
                        <w:jc w:val="center"/>
                      </w:pPr>
                      <w:r>
                        <w:t>Le financement Externe</w:t>
                      </w:r>
                    </w:p>
                  </w:txbxContent>
                </v:textbox>
              </v:oval>
            </w:pict>
          </mc:Fallback>
        </mc:AlternateContent>
      </w:r>
    </w:p>
    <w:p w:rsidR="00624200" w:rsidRPr="00624200" w:rsidRDefault="007047B8" w:rsidP="00624200">
      <w:pPr>
        <w:jc w:val="center"/>
        <w:rPr>
          <w:rFonts w:ascii="Comic Sans MS" w:hAnsi="Comic Sans MS"/>
          <w:sz w:val="20"/>
          <w:szCs w:val="20"/>
        </w:rPr>
      </w:pPr>
      <w:bookmarkStart w:id="0" w:name="_GoBack"/>
      <w:bookmarkEnd w:id="0"/>
      <w:r>
        <w:rPr>
          <w:rFonts w:ascii="Comic Sans MS" w:hAnsi="Comic Sans MS"/>
          <w:noProof/>
          <w:sz w:val="20"/>
          <w:szCs w:val="20"/>
          <w:lang w:eastAsia="fr-FR"/>
        </w:rPr>
        <mc:AlternateContent>
          <mc:Choice Requires="wps">
            <w:drawing>
              <wp:anchor distT="0" distB="0" distL="114300" distR="114300" simplePos="0" relativeHeight="251670528" behindDoc="0" locked="0" layoutInCell="1" allowOverlap="1">
                <wp:simplePos x="0" y="0"/>
                <wp:positionH relativeFrom="column">
                  <wp:posOffset>5050155</wp:posOffset>
                </wp:positionH>
                <wp:positionV relativeFrom="paragraph">
                  <wp:posOffset>582295</wp:posOffset>
                </wp:positionV>
                <wp:extent cx="771525" cy="171450"/>
                <wp:effectExtent l="0" t="0" r="66675" b="76200"/>
                <wp:wrapNone/>
                <wp:docPr id="13" name="Connecteur droit avec flèche 13"/>
                <wp:cNvGraphicFramePr/>
                <a:graphic xmlns:a="http://schemas.openxmlformats.org/drawingml/2006/main">
                  <a:graphicData uri="http://schemas.microsoft.com/office/word/2010/wordprocessingShape">
                    <wps:wsp>
                      <wps:cNvCnPr/>
                      <wps:spPr>
                        <a:xfrm>
                          <a:off x="0" y="0"/>
                          <a:ext cx="77152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29017E" id="Connecteur droit avec flèche 13" o:spid="_x0000_s1026" type="#_x0000_t32" style="position:absolute;margin-left:397.65pt;margin-top:45.85pt;width:60.75pt;height:1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" strokecolor="black [3200]" strokeweight=".5pt">
                <v:stroke endarrow="block" joinstyle="miter"/>
              </v:shape>
            </w:pict>
          </mc:Fallback>
        </mc:AlternateContent>
      </w:r>
      <w:r>
        <w:rPr>
          <w:rFonts w:ascii="Comic Sans MS" w:hAnsi="Comic Sans MS"/>
          <w:noProof/>
          <w:sz w:val="20"/>
          <w:szCs w:val="20"/>
          <w:lang w:eastAsia="fr-FR"/>
        </w:rPr>
        <mc:AlternateContent>
          <mc:Choice Requires="wps">
            <w:drawing>
              <wp:anchor distT="0" distB="0" distL="114300" distR="114300" simplePos="0" relativeHeight="251669504" behindDoc="0" locked="0" layoutInCell="1" allowOverlap="1">
                <wp:simplePos x="0" y="0"/>
                <wp:positionH relativeFrom="column">
                  <wp:posOffset>4192905</wp:posOffset>
                </wp:positionH>
                <wp:positionV relativeFrom="paragraph">
                  <wp:posOffset>563245</wp:posOffset>
                </wp:positionV>
                <wp:extent cx="809625" cy="152400"/>
                <wp:effectExtent l="38100" t="0" r="28575" b="76200"/>
                <wp:wrapNone/>
                <wp:docPr id="12" name="Connecteur droit avec flèche 12"/>
                <wp:cNvGraphicFramePr/>
                <a:graphic xmlns:a="http://schemas.openxmlformats.org/drawingml/2006/main">
                  <a:graphicData uri="http://schemas.microsoft.com/office/word/2010/wordprocessingShape">
                    <wps:wsp>
                      <wps:cNvCnPr/>
                      <wps:spPr>
                        <a:xfrm flipH="1">
                          <a:off x="0" y="0"/>
                          <a:ext cx="80962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7764E5" id="Connecteur droit avec flèche 12" o:spid="_x0000_s1026" type="#_x0000_t32" style="position:absolute;margin-left:330.15pt;margin-top:44.35pt;width:63.75pt;height:1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" strokecolor="black [3200]" strokeweight=".5pt">
                <v:stroke endarrow="block" joinstyle="miter"/>
              </v:shape>
            </w:pict>
          </mc:Fallback>
        </mc:AlternateContent>
      </w:r>
      <w:r>
        <w:rPr>
          <w:rFonts w:ascii="Comic Sans MS" w:hAnsi="Comic Sans MS"/>
          <w:noProof/>
          <w:sz w:val="20"/>
          <w:szCs w:val="20"/>
          <w:lang w:eastAsia="fr-FR"/>
        </w:rPr>
        <mc:AlternateContent>
          <mc:Choice Requires="wps">
            <w:drawing>
              <wp:anchor distT="0" distB="0" distL="114300" distR="114300" simplePos="0" relativeHeight="251664384" behindDoc="0" locked="0" layoutInCell="1" allowOverlap="1" wp14:anchorId="423E990B" wp14:editId="76820A31">
                <wp:simplePos x="0" y="0"/>
                <wp:positionH relativeFrom="column">
                  <wp:posOffset>3021330</wp:posOffset>
                </wp:positionH>
                <wp:positionV relativeFrom="paragraph">
                  <wp:posOffset>753745</wp:posOffset>
                </wp:positionV>
                <wp:extent cx="1905000" cy="1428750"/>
                <wp:effectExtent l="0" t="0" r="19050" b="19050"/>
                <wp:wrapNone/>
                <wp:docPr id="8" name="Rectangle à coins arrondis 8"/>
                <wp:cNvGraphicFramePr/>
                <a:graphic xmlns:a="http://schemas.openxmlformats.org/drawingml/2006/main">
                  <a:graphicData uri="http://schemas.microsoft.com/office/word/2010/wordprocessingShape">
                    <wps:wsp>
                      <wps:cNvSpPr/>
                      <wps:spPr>
                        <a:xfrm>
                          <a:off x="0" y="0"/>
                          <a:ext cx="1905000" cy="14287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047B8" w:rsidRPr="007047B8" w:rsidRDefault="00624200" w:rsidP="007047B8">
                            <w:pPr>
                              <w:spacing w:after="0"/>
                              <w:jc w:val="center"/>
                              <w:rPr>
                                <w:rFonts w:ascii="Comic Sans MS" w:hAnsi="Comic Sans MS"/>
                                <w:b/>
                                <w:sz w:val="18"/>
                                <w:szCs w:val="18"/>
                              </w:rPr>
                            </w:pPr>
                            <w:r w:rsidRPr="007047B8">
                              <w:rPr>
                                <w:rFonts w:ascii="Comic Sans MS" w:hAnsi="Comic Sans MS"/>
                                <w:b/>
                                <w:sz w:val="18"/>
                                <w:szCs w:val="18"/>
                              </w:rPr>
                              <w:t>Direct :</w:t>
                            </w:r>
                          </w:p>
                          <w:p w:rsidR="00624200" w:rsidRPr="00624200" w:rsidRDefault="007047B8" w:rsidP="007047B8">
                            <w:pPr>
                              <w:spacing w:after="0"/>
                              <w:rPr>
                                <w:rFonts w:ascii="Comic Sans MS" w:hAnsi="Comic Sans MS"/>
                                <w:sz w:val="18"/>
                                <w:szCs w:val="18"/>
                              </w:rPr>
                            </w:pPr>
                            <w:r>
                              <w:rPr>
                                <w:rFonts w:ascii="Comic Sans MS" w:hAnsi="Comic Sans MS"/>
                                <w:sz w:val="18"/>
                                <w:szCs w:val="18"/>
                              </w:rPr>
                              <w:t xml:space="preserve">Marché des </w:t>
                            </w:r>
                            <w:r w:rsidR="00624200" w:rsidRPr="00624200">
                              <w:rPr>
                                <w:rFonts w:ascii="Comic Sans MS" w:hAnsi="Comic Sans MS"/>
                                <w:sz w:val="18"/>
                                <w:szCs w:val="18"/>
                              </w:rPr>
                              <w:t>capitaux</w:t>
                            </w:r>
                          </w:p>
                          <w:p w:rsidR="00624200" w:rsidRPr="007047B8" w:rsidRDefault="007047B8" w:rsidP="007047B8">
                            <w:pPr>
                              <w:spacing w:after="0"/>
                              <w:rPr>
                                <w:rFonts w:ascii="Comic Sans MS" w:hAnsi="Comic Sans MS"/>
                                <w:sz w:val="18"/>
                                <w:szCs w:val="18"/>
                              </w:rPr>
                            </w:pPr>
                            <w:r w:rsidRPr="007047B8">
                              <w:rPr>
                                <w:rFonts w:ascii="Comic Sans MS" w:hAnsi="Comic Sans MS"/>
                                <w:sz w:val="18"/>
                                <w:szCs w:val="18"/>
                              </w:rPr>
                              <w:t>-</w:t>
                            </w:r>
                            <w:r>
                              <w:rPr>
                                <w:rFonts w:ascii="Comic Sans MS" w:hAnsi="Comic Sans MS"/>
                                <w:sz w:val="18"/>
                                <w:szCs w:val="18"/>
                              </w:rPr>
                              <w:t xml:space="preserve"> </w:t>
                            </w:r>
                            <w:r w:rsidR="00624200" w:rsidRPr="007047B8">
                              <w:rPr>
                                <w:rFonts w:ascii="Comic Sans MS" w:hAnsi="Comic Sans MS"/>
                                <w:sz w:val="18"/>
                                <w:szCs w:val="18"/>
                              </w:rPr>
                              <w:t>CT marché monétaire</w:t>
                            </w:r>
                          </w:p>
                          <w:p w:rsidR="00624200" w:rsidRDefault="007047B8" w:rsidP="007047B8">
                            <w:pPr>
                              <w:spacing w:after="0"/>
                              <w:rPr>
                                <w:rFonts w:ascii="Comic Sans MS" w:hAnsi="Comic Sans MS"/>
                                <w:sz w:val="18"/>
                                <w:szCs w:val="18"/>
                              </w:rPr>
                            </w:pPr>
                            <w:r>
                              <w:rPr>
                                <w:rFonts w:ascii="Comic Sans MS" w:hAnsi="Comic Sans MS"/>
                                <w:sz w:val="18"/>
                                <w:szCs w:val="18"/>
                              </w:rPr>
                              <w:t xml:space="preserve">- </w:t>
                            </w:r>
                            <w:r w:rsidR="00624200" w:rsidRPr="007047B8">
                              <w:rPr>
                                <w:rFonts w:ascii="Comic Sans MS" w:hAnsi="Comic Sans MS"/>
                                <w:sz w:val="18"/>
                                <w:szCs w:val="18"/>
                              </w:rPr>
                              <w:t>LT marché</w:t>
                            </w:r>
                            <w:r w:rsidR="00624200" w:rsidRPr="007047B8">
                              <w:rPr>
                                <w:rFonts w:ascii="Comic Sans MS" w:hAnsi="Comic Sans MS"/>
                                <w:sz w:val="20"/>
                                <w:szCs w:val="20"/>
                              </w:rPr>
                              <w:t xml:space="preserve"> </w:t>
                            </w:r>
                            <w:r w:rsidR="00624200" w:rsidRPr="007047B8">
                              <w:rPr>
                                <w:rFonts w:ascii="Comic Sans MS" w:hAnsi="Comic Sans MS"/>
                                <w:sz w:val="18"/>
                                <w:szCs w:val="18"/>
                              </w:rPr>
                              <w:t>financi</w:t>
                            </w:r>
                            <w:r w:rsidRPr="007047B8">
                              <w:rPr>
                                <w:rFonts w:ascii="Comic Sans MS" w:hAnsi="Comic Sans MS"/>
                                <w:sz w:val="18"/>
                                <w:szCs w:val="18"/>
                              </w:rPr>
                              <w:t>e</w:t>
                            </w:r>
                            <w:r w:rsidR="00624200" w:rsidRPr="007047B8">
                              <w:rPr>
                                <w:rFonts w:ascii="Comic Sans MS" w:hAnsi="Comic Sans MS"/>
                                <w:sz w:val="18"/>
                                <w:szCs w:val="18"/>
                              </w:rPr>
                              <w:t>r</w:t>
                            </w:r>
                            <w:r>
                              <w:rPr>
                                <w:rFonts w:ascii="Comic Sans MS" w:hAnsi="Comic Sans MS"/>
                                <w:sz w:val="18"/>
                                <w:szCs w:val="18"/>
                              </w:rPr>
                              <w:t xml:space="preserve"> </w:t>
                            </w:r>
                          </w:p>
                          <w:p w:rsidR="007047B8" w:rsidRPr="007047B8" w:rsidRDefault="007047B8" w:rsidP="007047B8">
                            <w:pPr>
                              <w:spacing w:after="0"/>
                              <w:rPr>
                                <w:rFonts w:ascii="Comic Sans MS" w:hAnsi="Comic Sans MS"/>
                                <w:sz w:val="20"/>
                                <w:szCs w:val="20"/>
                              </w:rPr>
                            </w:pPr>
                            <w:r>
                              <w:rPr>
                                <w:rFonts w:ascii="Comic Sans MS" w:hAnsi="Comic Sans MS"/>
                                <w:sz w:val="18"/>
                                <w:szCs w:val="18"/>
                              </w:rPr>
                              <w:t>(Actions/obligations)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E990B" id="Rectangle à coins arrondis 8" o:spid="_x0000_s1030" style="position:absolute;left:0;text-align:left;margin-left:237.9pt;margin-top:59.35pt;width:150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" fillcolor="white [3201]" strokecolor="black [3213]" strokeweight="1pt">
                <v:stroke joinstyle="miter"/>
                <v:textbox>
                  <w:txbxContent>
                    <w:p w:rsidR="007047B8" w:rsidRPr="007047B8" w:rsidRDefault="00624200" w:rsidP="007047B8">
                      <w:pPr>
                        <w:spacing w:after="0"/>
                        <w:jc w:val="center"/>
                        <w:rPr>
                          <w:rFonts w:ascii="Comic Sans MS" w:hAnsi="Comic Sans MS"/>
                          <w:b/>
                          <w:sz w:val="18"/>
                          <w:szCs w:val="18"/>
                        </w:rPr>
                      </w:pPr>
                      <w:r w:rsidRPr="007047B8">
                        <w:rPr>
                          <w:rFonts w:ascii="Comic Sans MS" w:hAnsi="Comic Sans MS"/>
                          <w:b/>
                          <w:sz w:val="18"/>
                          <w:szCs w:val="18"/>
                        </w:rPr>
                        <w:t>Direct :</w:t>
                      </w:r>
                    </w:p>
                    <w:p w:rsidR="00624200" w:rsidRPr="00624200" w:rsidRDefault="007047B8" w:rsidP="007047B8">
                      <w:pPr>
                        <w:spacing w:after="0"/>
                        <w:rPr>
                          <w:rFonts w:ascii="Comic Sans MS" w:hAnsi="Comic Sans MS"/>
                          <w:sz w:val="18"/>
                          <w:szCs w:val="18"/>
                        </w:rPr>
                      </w:pPr>
                      <w:r>
                        <w:rPr>
                          <w:rFonts w:ascii="Comic Sans MS" w:hAnsi="Comic Sans MS"/>
                          <w:sz w:val="18"/>
                          <w:szCs w:val="18"/>
                        </w:rPr>
                        <w:t xml:space="preserve">Marché des </w:t>
                      </w:r>
                      <w:r w:rsidR="00624200" w:rsidRPr="00624200">
                        <w:rPr>
                          <w:rFonts w:ascii="Comic Sans MS" w:hAnsi="Comic Sans MS"/>
                          <w:sz w:val="18"/>
                          <w:szCs w:val="18"/>
                        </w:rPr>
                        <w:t>capitaux</w:t>
                      </w:r>
                    </w:p>
                    <w:p w:rsidR="00624200" w:rsidRPr="007047B8" w:rsidRDefault="007047B8" w:rsidP="007047B8">
                      <w:pPr>
                        <w:spacing w:after="0"/>
                        <w:rPr>
                          <w:rFonts w:ascii="Comic Sans MS" w:hAnsi="Comic Sans MS"/>
                          <w:sz w:val="18"/>
                          <w:szCs w:val="18"/>
                        </w:rPr>
                      </w:pPr>
                      <w:r w:rsidRPr="007047B8">
                        <w:rPr>
                          <w:rFonts w:ascii="Comic Sans MS" w:hAnsi="Comic Sans MS"/>
                          <w:sz w:val="18"/>
                          <w:szCs w:val="18"/>
                        </w:rPr>
                        <w:t>-</w:t>
                      </w:r>
                      <w:r>
                        <w:rPr>
                          <w:rFonts w:ascii="Comic Sans MS" w:hAnsi="Comic Sans MS"/>
                          <w:sz w:val="18"/>
                          <w:szCs w:val="18"/>
                        </w:rPr>
                        <w:t xml:space="preserve"> </w:t>
                      </w:r>
                      <w:r w:rsidR="00624200" w:rsidRPr="007047B8">
                        <w:rPr>
                          <w:rFonts w:ascii="Comic Sans MS" w:hAnsi="Comic Sans MS"/>
                          <w:sz w:val="18"/>
                          <w:szCs w:val="18"/>
                        </w:rPr>
                        <w:t>CT marché monétaire</w:t>
                      </w:r>
                    </w:p>
                    <w:p w:rsidR="00624200" w:rsidRDefault="007047B8" w:rsidP="007047B8">
                      <w:pPr>
                        <w:spacing w:after="0"/>
                        <w:rPr>
                          <w:rFonts w:ascii="Comic Sans MS" w:hAnsi="Comic Sans MS"/>
                          <w:sz w:val="18"/>
                          <w:szCs w:val="18"/>
                        </w:rPr>
                      </w:pPr>
                      <w:r>
                        <w:rPr>
                          <w:rFonts w:ascii="Comic Sans MS" w:hAnsi="Comic Sans MS"/>
                          <w:sz w:val="18"/>
                          <w:szCs w:val="18"/>
                        </w:rPr>
                        <w:t xml:space="preserve">- </w:t>
                      </w:r>
                      <w:r w:rsidR="00624200" w:rsidRPr="007047B8">
                        <w:rPr>
                          <w:rFonts w:ascii="Comic Sans MS" w:hAnsi="Comic Sans MS"/>
                          <w:sz w:val="18"/>
                          <w:szCs w:val="18"/>
                        </w:rPr>
                        <w:t>LT marché</w:t>
                      </w:r>
                      <w:r w:rsidR="00624200" w:rsidRPr="007047B8">
                        <w:rPr>
                          <w:rFonts w:ascii="Comic Sans MS" w:hAnsi="Comic Sans MS"/>
                          <w:sz w:val="20"/>
                          <w:szCs w:val="20"/>
                        </w:rPr>
                        <w:t xml:space="preserve"> </w:t>
                      </w:r>
                      <w:r w:rsidR="00624200" w:rsidRPr="007047B8">
                        <w:rPr>
                          <w:rFonts w:ascii="Comic Sans MS" w:hAnsi="Comic Sans MS"/>
                          <w:sz w:val="18"/>
                          <w:szCs w:val="18"/>
                        </w:rPr>
                        <w:t>financi</w:t>
                      </w:r>
                      <w:r w:rsidRPr="007047B8">
                        <w:rPr>
                          <w:rFonts w:ascii="Comic Sans MS" w:hAnsi="Comic Sans MS"/>
                          <w:sz w:val="18"/>
                          <w:szCs w:val="18"/>
                        </w:rPr>
                        <w:t>e</w:t>
                      </w:r>
                      <w:r w:rsidR="00624200" w:rsidRPr="007047B8">
                        <w:rPr>
                          <w:rFonts w:ascii="Comic Sans MS" w:hAnsi="Comic Sans MS"/>
                          <w:sz w:val="18"/>
                          <w:szCs w:val="18"/>
                        </w:rPr>
                        <w:t>r</w:t>
                      </w:r>
                      <w:r>
                        <w:rPr>
                          <w:rFonts w:ascii="Comic Sans MS" w:hAnsi="Comic Sans MS"/>
                          <w:sz w:val="18"/>
                          <w:szCs w:val="18"/>
                        </w:rPr>
                        <w:t xml:space="preserve"> </w:t>
                      </w:r>
                    </w:p>
                    <w:p w:rsidR="007047B8" w:rsidRPr="007047B8" w:rsidRDefault="007047B8" w:rsidP="007047B8">
                      <w:pPr>
                        <w:spacing w:after="0"/>
                        <w:rPr>
                          <w:rFonts w:ascii="Comic Sans MS" w:hAnsi="Comic Sans MS"/>
                          <w:sz w:val="20"/>
                          <w:szCs w:val="20"/>
                        </w:rPr>
                      </w:pPr>
                      <w:r>
                        <w:rPr>
                          <w:rFonts w:ascii="Comic Sans MS" w:hAnsi="Comic Sans MS"/>
                          <w:sz w:val="18"/>
                          <w:szCs w:val="18"/>
                        </w:rPr>
                        <w:t>(Actions/obligations)</w:t>
                      </w:r>
                    </w:p>
                  </w:txbxContent>
                </v:textbox>
              </v:roundrect>
            </w:pict>
          </mc:Fallback>
        </mc:AlternateContent>
      </w:r>
      <w:r>
        <w:rPr>
          <w:rFonts w:ascii="Comic Sans MS" w:hAnsi="Comic Sans MS"/>
          <w:noProof/>
          <w:sz w:val="20"/>
          <w:szCs w:val="20"/>
          <w:lang w:eastAsia="fr-FR"/>
        </w:rPr>
        <mc:AlternateContent>
          <mc:Choice Requires="wps">
            <w:drawing>
              <wp:anchor distT="0" distB="0" distL="114300" distR="114300" simplePos="0" relativeHeight="251666432" behindDoc="0" locked="0" layoutInCell="1" allowOverlap="1" wp14:anchorId="1B197C4F" wp14:editId="3BC294FA">
                <wp:simplePos x="0" y="0"/>
                <wp:positionH relativeFrom="margin">
                  <wp:posOffset>5135880</wp:posOffset>
                </wp:positionH>
                <wp:positionV relativeFrom="paragraph">
                  <wp:posOffset>763269</wp:posOffset>
                </wp:positionV>
                <wp:extent cx="1685925" cy="1419225"/>
                <wp:effectExtent l="0" t="0" r="28575" b="28575"/>
                <wp:wrapNone/>
                <wp:docPr id="9" name="Rectangle à coins arrondis 9"/>
                <wp:cNvGraphicFramePr/>
                <a:graphic xmlns:a="http://schemas.openxmlformats.org/drawingml/2006/main">
                  <a:graphicData uri="http://schemas.microsoft.com/office/word/2010/wordprocessingShape">
                    <wps:wsp>
                      <wps:cNvSpPr/>
                      <wps:spPr>
                        <a:xfrm>
                          <a:off x="0" y="0"/>
                          <a:ext cx="1685925" cy="14192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24200" w:rsidRPr="007047B8" w:rsidRDefault="00624200" w:rsidP="00624200">
                            <w:pPr>
                              <w:spacing w:after="0"/>
                              <w:jc w:val="center"/>
                              <w:rPr>
                                <w:rFonts w:ascii="Comic Sans MS" w:hAnsi="Comic Sans MS"/>
                                <w:b/>
                                <w:sz w:val="18"/>
                                <w:szCs w:val="18"/>
                              </w:rPr>
                            </w:pPr>
                            <w:r w:rsidRPr="007047B8">
                              <w:rPr>
                                <w:rFonts w:ascii="Comic Sans MS" w:hAnsi="Comic Sans MS"/>
                                <w:b/>
                                <w:sz w:val="18"/>
                                <w:szCs w:val="18"/>
                              </w:rPr>
                              <w:t xml:space="preserve">Indirect : </w:t>
                            </w:r>
                          </w:p>
                          <w:p w:rsidR="00624200" w:rsidRPr="00624200" w:rsidRDefault="00624200" w:rsidP="007047B8">
                            <w:pPr>
                              <w:rPr>
                                <w:rFonts w:ascii="Comic Sans MS" w:hAnsi="Comic Sans MS"/>
                                <w:sz w:val="18"/>
                                <w:szCs w:val="18"/>
                              </w:rPr>
                            </w:pPr>
                            <w:r w:rsidRPr="00624200">
                              <w:rPr>
                                <w:rFonts w:ascii="Comic Sans MS" w:hAnsi="Comic Sans MS"/>
                                <w:sz w:val="18"/>
                                <w:szCs w:val="18"/>
                              </w:rPr>
                              <w:t>Emprunt auprès des banques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97C4F" id="Rectangle à coins arrondis 9" o:spid="_x0000_s1031" style="position:absolute;left:0;text-align:left;margin-left:404.4pt;margin-top:60.1pt;width:132.75pt;height:11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" fillcolor="window" strokecolor="windowText" strokeweight="1pt">
                <v:stroke joinstyle="miter"/>
                <v:textbox>
                  <w:txbxContent>
                    <w:p w:rsidR="00624200" w:rsidRPr="007047B8" w:rsidRDefault="00624200" w:rsidP="00624200">
                      <w:pPr>
                        <w:spacing w:after="0"/>
                        <w:jc w:val="center"/>
                        <w:rPr>
                          <w:rFonts w:ascii="Comic Sans MS" w:hAnsi="Comic Sans MS"/>
                          <w:b/>
                          <w:sz w:val="18"/>
                          <w:szCs w:val="18"/>
                        </w:rPr>
                      </w:pPr>
                      <w:r w:rsidRPr="007047B8">
                        <w:rPr>
                          <w:rFonts w:ascii="Comic Sans MS" w:hAnsi="Comic Sans MS"/>
                          <w:b/>
                          <w:sz w:val="18"/>
                          <w:szCs w:val="18"/>
                        </w:rPr>
                        <w:t xml:space="preserve">Indirect : </w:t>
                      </w:r>
                    </w:p>
                    <w:p w:rsidR="00624200" w:rsidRPr="00624200" w:rsidRDefault="00624200" w:rsidP="007047B8">
                      <w:pPr>
                        <w:rPr>
                          <w:rFonts w:ascii="Comic Sans MS" w:hAnsi="Comic Sans MS"/>
                          <w:sz w:val="18"/>
                          <w:szCs w:val="18"/>
                        </w:rPr>
                      </w:pPr>
                      <w:r w:rsidRPr="00624200">
                        <w:rPr>
                          <w:rFonts w:ascii="Comic Sans MS" w:hAnsi="Comic Sans MS"/>
                          <w:sz w:val="18"/>
                          <w:szCs w:val="18"/>
                        </w:rPr>
                        <w:t>Emprunt auprès des banques</w:t>
                      </w:r>
                    </w:p>
                  </w:txbxContent>
                </v:textbox>
                <w10:wrap anchorx="margin"/>
              </v:roundrect>
            </w:pict>
          </mc:Fallback>
        </mc:AlternateContent>
      </w:r>
    </w:p>
    <w:sectPr w:rsidR="00624200" w:rsidRPr="00624200" w:rsidSect="0030131F">
      <w:headerReference w:type="default" r:id="rId10"/>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0C1" w:rsidRDefault="004710C1" w:rsidP="0030131F">
      <w:pPr>
        <w:spacing w:after="0" w:line="240" w:lineRule="auto"/>
      </w:pPr>
      <w:r>
        <w:separator/>
      </w:r>
    </w:p>
  </w:endnote>
  <w:endnote w:type="continuationSeparator" w:id="0">
    <w:p w:rsidR="004710C1" w:rsidRDefault="004710C1" w:rsidP="0030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mic Sans MS">
    <w:panose1 w:val="030F0702030302020204"/>
    <w:charset w:val="00"/>
    <w:family w:val="script"/>
    <w:pitch w:val="variable"/>
    <w:sig w:usb0="00000287" w:usb1="40000013"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0C1" w:rsidRDefault="004710C1" w:rsidP="0030131F">
      <w:pPr>
        <w:spacing w:after="0" w:line="240" w:lineRule="auto"/>
      </w:pPr>
      <w:r>
        <w:separator/>
      </w:r>
    </w:p>
  </w:footnote>
  <w:footnote w:type="continuationSeparator" w:id="0">
    <w:p w:rsidR="004710C1" w:rsidRDefault="004710C1" w:rsidP="0030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31F" w:rsidRDefault="0030131F" w:rsidP="0030131F">
    <w:pPr>
      <w:tabs>
        <w:tab w:val="center" w:pos="4536"/>
        <w:tab w:val="right" w:pos="9072"/>
      </w:tabs>
      <w:spacing w:after="0" w:line="240" w:lineRule="auto"/>
      <w:rPr>
        <w:rFonts w:ascii="Comic Sans MS" w:hAnsi="Comic Sans MS"/>
        <w:sz w:val="20"/>
        <w:szCs w:val="20"/>
      </w:rPr>
    </w:pPr>
    <w:r w:rsidRPr="00595ADB">
      <w:rPr>
        <w:rFonts w:ascii="Comic Sans MS" w:hAnsi="Comic Sans MS"/>
        <w:sz w:val="20"/>
        <w:szCs w:val="20"/>
      </w:rPr>
      <w:t>Comptabilité Financière et de Gestion</w:t>
    </w:r>
  </w:p>
  <w:p w:rsidR="0030131F" w:rsidRPr="0030131F" w:rsidRDefault="0030131F" w:rsidP="0030131F">
    <w:pPr>
      <w:tabs>
        <w:tab w:val="center" w:pos="4536"/>
        <w:tab w:val="right" w:pos="9072"/>
      </w:tabs>
      <w:spacing w:after="0" w:line="240" w:lineRule="auto"/>
      <w:rPr>
        <w:rFonts w:ascii="Comic Sans MS" w:hAnsi="Comic Sans MS"/>
        <w:sz w:val="20"/>
        <w:szCs w:val="20"/>
      </w:rPr>
    </w:pPr>
    <w:r>
      <w:rPr>
        <w:rFonts w:ascii="Comic Sans MS" w:hAnsi="Comic Sans MS"/>
        <w:sz w:val="20"/>
        <w:szCs w:val="20"/>
      </w:rPr>
      <w:t>1</w:t>
    </w:r>
    <w:r w:rsidRPr="00691BB2">
      <w:rPr>
        <w:rFonts w:ascii="Comic Sans MS" w:hAnsi="Comic Sans MS"/>
        <w:sz w:val="20"/>
        <w:szCs w:val="20"/>
        <w:vertAlign w:val="superscript"/>
      </w:rPr>
      <w:t>ère</w:t>
    </w:r>
    <w:r>
      <w:rPr>
        <w:rFonts w:ascii="Comic Sans MS" w:hAnsi="Comic Sans MS"/>
        <w:sz w:val="20"/>
        <w:szCs w:val="20"/>
      </w:rPr>
      <w:t xml:space="preserve"> Partie : Comment traduire l’activité de l’entreprise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207DB"/>
    <w:multiLevelType w:val="hybridMultilevel"/>
    <w:tmpl w:val="30688D7C"/>
    <w:lvl w:ilvl="0" w:tplc="009CBDE2">
      <w:start w:val="2"/>
      <w:numFmt w:val="bullet"/>
      <w:lvlText w:val="-"/>
      <w:lvlJc w:val="left"/>
      <w:pPr>
        <w:ind w:left="720" w:hanging="360"/>
      </w:pPr>
      <w:rPr>
        <w:rFonts w:ascii="Comic Sans MS" w:eastAsiaTheme="minorHAnsi"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131301"/>
    <w:multiLevelType w:val="multilevel"/>
    <w:tmpl w:val="69B24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6031CA"/>
    <w:multiLevelType w:val="hybridMultilevel"/>
    <w:tmpl w:val="B1AC875C"/>
    <w:lvl w:ilvl="0" w:tplc="19B0EA14">
      <w:start w:val="2"/>
      <w:numFmt w:val="bullet"/>
      <w:lvlText w:val="-"/>
      <w:lvlJc w:val="left"/>
      <w:pPr>
        <w:ind w:left="720" w:hanging="360"/>
      </w:pPr>
      <w:rPr>
        <w:rFonts w:ascii="Comic Sans MS" w:eastAsiaTheme="minorHAnsi"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927EFA"/>
    <w:multiLevelType w:val="hybridMultilevel"/>
    <w:tmpl w:val="0CF0D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26969FF"/>
    <w:multiLevelType w:val="hybridMultilevel"/>
    <w:tmpl w:val="E35A90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97A1D31"/>
    <w:multiLevelType w:val="hybridMultilevel"/>
    <w:tmpl w:val="BC7C7CE8"/>
    <w:lvl w:ilvl="0" w:tplc="70A26BDE">
      <w:start w:val="3"/>
      <w:numFmt w:val="bullet"/>
      <w:lvlText w:val="-"/>
      <w:lvlJc w:val="left"/>
      <w:pPr>
        <w:ind w:left="720" w:hanging="360"/>
      </w:pPr>
      <w:rPr>
        <w:rFonts w:ascii="Comic Sans MS" w:eastAsiaTheme="minorHAnsi"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D6E2D69"/>
    <w:multiLevelType w:val="hybridMultilevel"/>
    <w:tmpl w:val="26B416BA"/>
    <w:lvl w:ilvl="0" w:tplc="E496D670">
      <w:start w:val="3"/>
      <w:numFmt w:val="bullet"/>
      <w:lvlText w:val="-"/>
      <w:lvlJc w:val="left"/>
      <w:pPr>
        <w:ind w:left="720" w:hanging="360"/>
      </w:pPr>
      <w:rPr>
        <w:rFonts w:ascii="Comic Sans MS" w:eastAsiaTheme="minorHAnsi"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31F"/>
    <w:rsid w:val="000A420D"/>
    <w:rsid w:val="00276993"/>
    <w:rsid w:val="0030131F"/>
    <w:rsid w:val="0032451F"/>
    <w:rsid w:val="003739CE"/>
    <w:rsid w:val="0044796D"/>
    <w:rsid w:val="004710C1"/>
    <w:rsid w:val="006126F3"/>
    <w:rsid w:val="00624200"/>
    <w:rsid w:val="007047B8"/>
    <w:rsid w:val="00807E18"/>
    <w:rsid w:val="008B0B06"/>
    <w:rsid w:val="008E08B4"/>
    <w:rsid w:val="008E08DC"/>
    <w:rsid w:val="00963090"/>
    <w:rsid w:val="00A17743"/>
    <w:rsid w:val="00AB0195"/>
    <w:rsid w:val="00D00CB7"/>
    <w:rsid w:val="00DB05EA"/>
    <w:rsid w:val="00E56D9B"/>
    <w:rsid w:val="00F245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C01B78-0A8F-4BAF-B014-2774AC416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semiHidden/>
    <w:unhideWhenUsed/>
    <w:qFormat/>
    <w:rsid w:val="00A177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A177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0131F"/>
    <w:pPr>
      <w:tabs>
        <w:tab w:val="center" w:pos="4536"/>
        <w:tab w:val="right" w:pos="9072"/>
      </w:tabs>
      <w:spacing w:after="0" w:line="240" w:lineRule="auto"/>
    </w:pPr>
  </w:style>
  <w:style w:type="character" w:customStyle="1" w:styleId="En-tteCar">
    <w:name w:val="En-tête Car"/>
    <w:basedOn w:val="Policepardfaut"/>
    <w:link w:val="En-tte"/>
    <w:uiPriority w:val="99"/>
    <w:rsid w:val="0030131F"/>
  </w:style>
  <w:style w:type="paragraph" w:styleId="Pieddepage">
    <w:name w:val="footer"/>
    <w:basedOn w:val="Normal"/>
    <w:link w:val="PieddepageCar"/>
    <w:uiPriority w:val="99"/>
    <w:unhideWhenUsed/>
    <w:rsid w:val="003013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31F"/>
  </w:style>
  <w:style w:type="paragraph" w:customStyle="1" w:styleId="Textecourant">
    <w:name w:val="Texte courant"/>
    <w:link w:val="TextecourantCar"/>
    <w:qFormat/>
    <w:rsid w:val="00A17743"/>
    <w:pPr>
      <w:spacing w:after="60" w:line="240" w:lineRule="auto"/>
      <w:jc w:val="both"/>
    </w:pPr>
    <w:rPr>
      <w:rFonts w:ascii="Times New Roman" w:eastAsia="Times New Roman" w:hAnsi="Times New Roman" w:cs="Times New Roman"/>
      <w:bCs/>
      <w:sz w:val="24"/>
      <w:szCs w:val="24"/>
      <w:lang w:eastAsia="ar-SA"/>
    </w:rPr>
  </w:style>
  <w:style w:type="character" w:customStyle="1" w:styleId="TextecourantCar">
    <w:name w:val="Texte courant Car"/>
    <w:link w:val="Textecourant"/>
    <w:rsid w:val="00A17743"/>
    <w:rPr>
      <w:rFonts w:ascii="Times New Roman" w:eastAsia="Times New Roman" w:hAnsi="Times New Roman" w:cs="Times New Roman"/>
      <w:bCs/>
      <w:sz w:val="24"/>
      <w:szCs w:val="24"/>
      <w:lang w:eastAsia="ar-SA"/>
    </w:rPr>
  </w:style>
  <w:style w:type="paragraph" w:customStyle="1" w:styleId="Titre2bis">
    <w:name w:val="Titre 2 bis"/>
    <w:basedOn w:val="Titre2"/>
    <w:rsid w:val="00A17743"/>
    <w:pPr>
      <w:keepLines w:val="0"/>
      <w:spacing w:before="360" w:after="240" w:line="240" w:lineRule="auto"/>
      <w:ind w:left="1418"/>
    </w:pPr>
    <w:rPr>
      <w:rFonts w:ascii="Verdana" w:eastAsia="Times New Roman" w:hAnsi="Verdana" w:cs="Times New Roman"/>
      <w:b/>
      <w:bCs/>
      <w:color w:val="auto"/>
      <w:sz w:val="28"/>
      <w:szCs w:val="20"/>
      <w:lang w:eastAsia="fr-FR"/>
    </w:rPr>
  </w:style>
  <w:style w:type="paragraph" w:customStyle="1" w:styleId="Titre3bis">
    <w:name w:val="Titre 3 bis"/>
    <w:basedOn w:val="Titre3"/>
    <w:link w:val="Titre3bisCar"/>
    <w:rsid w:val="00A17743"/>
    <w:pPr>
      <w:keepLines w:val="0"/>
      <w:suppressAutoHyphens/>
      <w:spacing w:before="240" w:after="120" w:line="240" w:lineRule="auto"/>
    </w:pPr>
    <w:rPr>
      <w:rFonts w:ascii="Verdana" w:eastAsia="Times New Roman" w:hAnsi="Verdana" w:cs="Times New Roman"/>
      <w:b/>
      <w:bCs/>
      <w:color w:val="auto"/>
      <w:szCs w:val="28"/>
      <w:u w:val="single"/>
      <w:lang w:val="x-none" w:eastAsia="x-none"/>
    </w:rPr>
  </w:style>
  <w:style w:type="character" w:customStyle="1" w:styleId="Titre3bisCar">
    <w:name w:val="Titre 3 bis Car"/>
    <w:link w:val="Titre3bis"/>
    <w:rsid w:val="00A17743"/>
    <w:rPr>
      <w:rFonts w:ascii="Verdana" w:eastAsia="Times New Roman" w:hAnsi="Verdana" w:cs="Times New Roman"/>
      <w:b/>
      <w:bCs/>
      <w:sz w:val="24"/>
      <w:szCs w:val="28"/>
      <w:u w:val="single"/>
      <w:lang w:val="x-none" w:eastAsia="x-none"/>
    </w:rPr>
  </w:style>
  <w:style w:type="paragraph" w:customStyle="1" w:styleId="Exemple">
    <w:name w:val="Exemple"/>
    <w:qFormat/>
    <w:rsid w:val="00A17743"/>
    <w:pPr>
      <w:suppressAutoHyphens/>
      <w:spacing w:after="60" w:line="240" w:lineRule="auto"/>
      <w:jc w:val="both"/>
    </w:pPr>
    <w:rPr>
      <w:rFonts w:ascii="Arial" w:eastAsia="Times New Roman" w:hAnsi="Arial" w:cs="Times New Roman"/>
      <w:sz w:val="20"/>
      <w:szCs w:val="28"/>
      <w:lang w:eastAsia="ar-SA"/>
    </w:rPr>
  </w:style>
  <w:style w:type="character" w:customStyle="1" w:styleId="Titre2Car">
    <w:name w:val="Titre 2 Car"/>
    <w:basedOn w:val="Policepardfaut"/>
    <w:link w:val="Titre2"/>
    <w:uiPriority w:val="9"/>
    <w:semiHidden/>
    <w:rsid w:val="00A1774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A17743"/>
    <w:rPr>
      <w:rFonts w:asciiTheme="majorHAnsi" w:eastAsiaTheme="majorEastAsia" w:hAnsiTheme="majorHAnsi" w:cstheme="majorBidi"/>
      <w:color w:val="1F4D78" w:themeColor="accent1" w:themeShade="7F"/>
      <w:sz w:val="24"/>
      <w:szCs w:val="24"/>
    </w:rPr>
  </w:style>
  <w:style w:type="paragraph" w:customStyle="1" w:styleId="Titre3ter">
    <w:name w:val="Titre 3 ter"/>
    <w:qFormat/>
    <w:rsid w:val="00A17743"/>
    <w:pPr>
      <w:spacing w:after="60" w:line="240" w:lineRule="auto"/>
    </w:pPr>
    <w:rPr>
      <w:rFonts w:ascii="Verdana" w:eastAsia="Times New Roman" w:hAnsi="Verdana" w:cs="Times New Roman"/>
      <w:b/>
      <w:sz w:val="24"/>
      <w:szCs w:val="24"/>
      <w:lang w:eastAsia="fr-FR"/>
    </w:rPr>
  </w:style>
  <w:style w:type="paragraph" w:styleId="Paragraphedeliste">
    <w:name w:val="List Paragraph"/>
    <w:basedOn w:val="Normal"/>
    <w:uiPriority w:val="34"/>
    <w:qFormat/>
    <w:rsid w:val="008E08B4"/>
    <w:pPr>
      <w:ind w:left="720"/>
      <w:contextualSpacing/>
    </w:pPr>
  </w:style>
  <w:style w:type="paragraph" w:styleId="Textedebulles">
    <w:name w:val="Balloon Text"/>
    <w:basedOn w:val="Normal"/>
    <w:link w:val="TextedebullesCar"/>
    <w:uiPriority w:val="99"/>
    <w:semiHidden/>
    <w:unhideWhenUsed/>
    <w:rsid w:val="00F245E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245E0"/>
    <w:rPr>
      <w:rFonts w:ascii="Segoe UI" w:hAnsi="Segoe UI" w:cs="Segoe UI"/>
      <w:sz w:val="18"/>
      <w:szCs w:val="18"/>
    </w:rPr>
  </w:style>
  <w:style w:type="paragraph" w:customStyle="1" w:styleId="Texte">
    <w:name w:val="Texte"/>
    <w:basedOn w:val="Normal"/>
    <w:link w:val="TexteCar"/>
    <w:qFormat/>
    <w:rsid w:val="00963090"/>
    <w:pPr>
      <w:spacing w:after="120" w:line="276" w:lineRule="auto"/>
      <w:jc w:val="both"/>
    </w:pPr>
    <w:rPr>
      <w:rFonts w:ascii="Times New Roman" w:eastAsia="Calibri" w:hAnsi="Times New Roman" w:cs="Times New Roman"/>
      <w:sz w:val="23"/>
      <w:szCs w:val="23"/>
    </w:rPr>
  </w:style>
  <w:style w:type="character" w:customStyle="1" w:styleId="TexteCar">
    <w:name w:val="Texte Car"/>
    <w:link w:val="Texte"/>
    <w:rsid w:val="00963090"/>
    <w:rPr>
      <w:rFonts w:ascii="Times New Roman" w:eastAsia="Calibri" w:hAnsi="Times New Roman" w:cs="Times New Roman"/>
      <w:sz w:val="23"/>
      <w:szCs w:val="23"/>
    </w:rPr>
  </w:style>
  <w:style w:type="paragraph" w:customStyle="1" w:styleId="GrandTitre1">
    <w:name w:val="Grand Titre 1"/>
    <w:basedOn w:val="Texte"/>
    <w:link w:val="GrandTitre1Car"/>
    <w:qFormat/>
    <w:rsid w:val="00963090"/>
    <w:pPr>
      <w:spacing w:after="360"/>
    </w:pPr>
    <w:rPr>
      <w:rFonts w:ascii="Arial" w:eastAsia="Arial" w:hAnsi="Arial" w:cs="Arial"/>
      <w:b/>
      <w:sz w:val="28"/>
    </w:rPr>
  </w:style>
  <w:style w:type="paragraph" w:customStyle="1" w:styleId="Sous-titreAcours">
    <w:name w:val="Sous-titre A cours"/>
    <w:basedOn w:val="Titre3"/>
    <w:link w:val="Sous-titreAcoursCar"/>
    <w:qFormat/>
    <w:rsid w:val="00963090"/>
    <w:pPr>
      <w:keepLines w:val="0"/>
      <w:spacing w:before="0" w:after="120" w:line="240" w:lineRule="auto"/>
      <w:ind w:firstLine="284"/>
    </w:pPr>
    <w:rPr>
      <w:rFonts w:ascii="Arial" w:eastAsia="Times New Roman" w:hAnsi="Arial" w:cs="Arial"/>
      <w:b/>
      <w:bCs/>
      <w:color w:val="auto"/>
    </w:rPr>
  </w:style>
  <w:style w:type="character" w:customStyle="1" w:styleId="GrandTitre1Car">
    <w:name w:val="Grand Titre 1 Car"/>
    <w:link w:val="GrandTitre1"/>
    <w:rsid w:val="00963090"/>
    <w:rPr>
      <w:rFonts w:ascii="Arial" w:eastAsia="Arial" w:hAnsi="Arial" w:cs="Arial"/>
      <w:b/>
      <w:sz w:val="28"/>
      <w:szCs w:val="23"/>
    </w:rPr>
  </w:style>
  <w:style w:type="paragraph" w:customStyle="1" w:styleId="Sous-soustitre1cours">
    <w:name w:val="Sous-sous titre 1 cours"/>
    <w:basedOn w:val="Normal"/>
    <w:link w:val="Sous-soustitre1coursCar"/>
    <w:qFormat/>
    <w:rsid w:val="00963090"/>
    <w:pPr>
      <w:tabs>
        <w:tab w:val="left" w:pos="284"/>
      </w:tabs>
      <w:spacing w:before="120" w:after="120" w:line="276" w:lineRule="auto"/>
      <w:ind w:firstLine="567"/>
      <w:jc w:val="both"/>
    </w:pPr>
    <w:rPr>
      <w:rFonts w:ascii="Times New Roman" w:eastAsia="Times New Roman" w:hAnsi="Times New Roman" w:cs="Times New Roman"/>
      <w:b/>
      <w:sz w:val="24"/>
      <w:lang w:eastAsia="fr-FR"/>
    </w:rPr>
  </w:style>
  <w:style w:type="character" w:customStyle="1" w:styleId="Sous-titreAcoursCar">
    <w:name w:val="Sous-titre A cours Car"/>
    <w:link w:val="Sous-titreAcours"/>
    <w:rsid w:val="00963090"/>
    <w:rPr>
      <w:rFonts w:ascii="Arial" w:eastAsia="Times New Roman" w:hAnsi="Arial" w:cs="Arial"/>
      <w:b/>
      <w:bCs/>
      <w:sz w:val="24"/>
      <w:szCs w:val="24"/>
    </w:rPr>
  </w:style>
  <w:style w:type="character" w:customStyle="1" w:styleId="Sous-soustitre1coursCar">
    <w:name w:val="Sous-sous titre 1 cours Car"/>
    <w:link w:val="Sous-soustitre1cours"/>
    <w:rsid w:val="00963090"/>
    <w:rPr>
      <w:rFonts w:ascii="Times New Roman" w:eastAsia="Times New Roman" w:hAnsi="Times New Roman" w:cs="Times New Roman"/>
      <w:b/>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204828">
      <w:bodyDiv w:val="1"/>
      <w:marLeft w:val="0"/>
      <w:marRight w:val="0"/>
      <w:marTop w:val="0"/>
      <w:marBottom w:val="0"/>
      <w:divBdr>
        <w:top w:val="none" w:sz="0" w:space="0" w:color="auto"/>
        <w:left w:val="none" w:sz="0" w:space="0" w:color="auto"/>
        <w:bottom w:val="none" w:sz="0" w:space="0" w:color="auto"/>
        <w:right w:val="none" w:sz="0" w:space="0" w:color="auto"/>
      </w:divBdr>
      <w:divsChild>
        <w:div w:id="2130392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customXml/item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ustomXml" Target="../customXml/item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89107037785748BCC9E9F2224A278D" ma:contentTypeVersion="0" ma:contentTypeDescription="Crée un document." ma:contentTypeScope="" ma:versionID="0b90a3410a4153f0b1ebe027b340890b">
  <xsd:schema xmlns:xsd="http://www.w3.org/2001/XMLSchema" xmlns:xs="http://www.w3.org/2001/XMLSchema" xmlns:p="http://schemas.microsoft.com/office/2006/metadata/properties" targetNamespace="http://schemas.microsoft.com/office/2006/metadata/properties" ma:root="true" ma:fieldsID="a3d6ca9f312fcd1c0ab10337cdbdb72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7DECD0-F6C5-42EE-9B4B-6441CE84A792}"/>
</file>

<file path=customXml/itemProps2.xml><?xml version="1.0" encoding="utf-8"?>
<ds:datastoreItem xmlns:ds="http://schemas.openxmlformats.org/officeDocument/2006/customXml" ds:itemID="{602532E5-EBDF-4707-88B9-8244F09490A5}"/>
</file>

<file path=customXml/itemProps3.xml><?xml version="1.0" encoding="utf-8"?>
<ds:datastoreItem xmlns:ds="http://schemas.openxmlformats.org/officeDocument/2006/customXml" ds:itemID="{C7682D6E-EBD1-4000-B2CB-072F06050DC4}"/>
</file>

<file path=docProps/app.xml><?xml version="1.0" encoding="utf-8"?>
<Properties xmlns="http://schemas.openxmlformats.org/officeDocument/2006/extended-properties" xmlns:vt="http://schemas.openxmlformats.org/officeDocument/2006/docPropsVTypes">
  <Template>Normal</Template>
  <TotalTime>17</TotalTime>
  <Pages>4</Pages>
  <Words>1468</Words>
  <Characters>8080</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Cathy Masini</dc:creator>
  <cp:keywords/>
  <dc:description/>
  <cp:lastModifiedBy>Cathy Masini</cp:lastModifiedBy>
  <cp:revision>3</cp:revision>
  <cp:lastPrinted>2015-10-12T14:57:00Z</cp:lastPrinted>
  <dcterms:created xsi:type="dcterms:W3CDTF">2015-10-12T15:26:00Z</dcterms:created>
  <dcterms:modified xsi:type="dcterms:W3CDTF">2015-10-12T15:45:00Z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0x0101004B89107037785748BCC9E9F2224A278D</vt:lpwstr>
  </property>
</Properties>
</file>