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Stratégie de spécialisation, avoir une image d’expertise envers les clients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Image basé sur la RSE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Respect de l’animal et de l'être humain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 l’origine d’une labellisation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Marché alimentaire : modèle eco → créer des partenariats avec des coopératives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Stratégie de différenciation : pas sur une stratégie prix, mais plutôt sur l’idée de la bonne rémunération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Chaîne de valeur de Porter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Permet de situer ou se trouve l’avantage concurrentiel et la faiblesse de l’entreprise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Océan Bleu car produit n’existant pas sur le marché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Mise en valeur de la RSE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Remunération a un prix correct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Les Consom'acteurs → acceptent de payer plus cher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chasse aux OGM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Les labels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Réhabituer le consommateurs a consommer des produits “non parfait”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Prix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Compétitivité Hors Prix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Prix magique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Promotion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tl w:val="0"/>
        </w:rPr>
        <w:t xml:space="preserve">Pub uniquement sur des médias spécialisés</w:t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rtl w:val="0"/>
        </w:rPr>
        <w:t xml:space="preserve">Bouche à oreille 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Place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Partout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Distribution intensive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