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mlelv4bhe6a" w:id="0"/>
      <w:bookmarkEnd w:id="0"/>
      <w:r w:rsidDel="00000000" w:rsidR="00000000" w:rsidRPr="00000000">
        <w:rPr>
          <w:rtl w:val="0"/>
        </w:rPr>
        <w:t xml:space="preserve">Stratégie globale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z5jhl6auyd0" w:id="1"/>
      <w:bookmarkEnd w:id="1"/>
      <w:r w:rsidDel="00000000" w:rsidR="00000000" w:rsidRPr="00000000">
        <w:rPr>
          <w:rtl w:val="0"/>
        </w:rPr>
        <w:t xml:space="preserve">Stratégie de différenciation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4up7nlp8kda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blnha6a6kir" w:id="3"/>
      <w:bookmarkEnd w:id="3"/>
      <w:r w:rsidDel="00000000" w:rsidR="00000000" w:rsidRPr="00000000">
        <w:rPr>
          <w:rtl w:val="0"/>
        </w:rPr>
        <w:t xml:space="preserve">Prix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Nespresso se positionne sur le marché du café.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Les différents concurrents sont Nescafé, Dolce Gusto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 rapport aux concurrents, Nespresso se situe sur le secteur haut de gamme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igz7cmu3cyx1" w:id="4"/>
      <w:bookmarkEnd w:id="4"/>
      <w:r w:rsidDel="00000000" w:rsidR="00000000" w:rsidRPr="00000000">
        <w:rPr>
          <w:rtl w:val="0"/>
        </w:rPr>
        <w:t xml:space="preserve">Produit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Capsule de café, innovation, produit principal, produit très varié, série limité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Machine design, esthétique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Prix des café élevé : impression de consommer un produit de luxe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blmi04whql78" w:id="5"/>
      <w:bookmarkEnd w:id="5"/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Vente uniquement dans les magasins nespresso et en ligne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Distribution fermé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Machine dispo uniquement chez Nespresso ou en magasin spécialisé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Capsule adaptable en magasin mais pas officielle Nespresso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 d'intermédiaire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Compliqué pour certains client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yb84ltrio46z" w:id="6"/>
      <w:bookmarkEnd w:id="6"/>
      <w:r w:rsidDel="00000000" w:rsidR="00000000" w:rsidRPr="00000000">
        <w:rPr>
          <w:rtl w:val="0"/>
        </w:rPr>
        <w:t xml:space="preserve">Promotion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Publicité avec des personnalités connues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Logo sobre mais dans l’inconscient collectif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Slogan populaire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Placement de produit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Communication sur les réseaux sociaux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Fidélisation : individualiser la consommation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Achat qui repose sur le plaisir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Mise en place d’abonnement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