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09DA" w14:textId="0E5D3633" w:rsidR="000B6EE5" w:rsidRPr="001F4259" w:rsidRDefault="0085159C" w:rsidP="00A03C74">
      <w:pPr>
        <w:pStyle w:val="Heading1"/>
        <w:spacing w:before="100" w:beforeAutospacing="1" w:line="240" w:lineRule="auto"/>
      </w:pPr>
      <w:r w:rsidRPr="001F4259">
        <w:t>Common Core of Data (</w:t>
      </w:r>
      <w:r w:rsidR="000B6EE5" w:rsidRPr="001F4259">
        <w:t>CCD</w:t>
      </w:r>
      <w:r w:rsidRPr="001F4259">
        <w:t>)</w:t>
      </w:r>
      <w:r w:rsidR="000B6EE5" w:rsidRPr="001F4259">
        <w:t xml:space="preserve"> </w:t>
      </w:r>
      <w:r w:rsidR="00386B79" w:rsidRPr="001F4259">
        <w:t>Preliminary</w:t>
      </w:r>
      <w:r w:rsidR="000B6EE5" w:rsidRPr="001F4259">
        <w:t xml:space="preserve"> </w:t>
      </w:r>
      <w:r w:rsidR="00D239AE" w:rsidRPr="001F4259">
        <w:t>Data Release - Directory</w:t>
      </w:r>
    </w:p>
    <w:p w14:paraId="3A5A96C9" w14:textId="77777777" w:rsidR="000B6EE5" w:rsidRPr="001F4259" w:rsidRDefault="000B6EE5" w:rsidP="00A03C74">
      <w:pPr>
        <w:pStyle w:val="Heading1"/>
        <w:spacing w:before="0" w:after="160" w:line="240" w:lineRule="auto"/>
      </w:pPr>
      <w:r w:rsidRPr="001F4259">
        <w:t>Release Notes</w:t>
      </w:r>
    </w:p>
    <w:p w14:paraId="67F07241" w14:textId="3EAE1025" w:rsidR="00770C35" w:rsidRPr="001F4259" w:rsidRDefault="00770C35" w:rsidP="00955ECF">
      <w:pPr>
        <w:pStyle w:val="Heading2"/>
        <w:spacing w:line="240" w:lineRule="auto"/>
      </w:pPr>
      <w:bookmarkStart w:id="0" w:name="_Hlk89262283"/>
      <w:r w:rsidRPr="001F4259">
        <w:t>Release Details</w:t>
      </w:r>
    </w:p>
    <w:p w14:paraId="66192BB8" w14:textId="27D598B4" w:rsidR="00FA1D69" w:rsidRPr="001F4259" w:rsidRDefault="00770C35" w:rsidP="00F375C5">
      <w:pPr>
        <w:spacing w:after="0" w:line="240" w:lineRule="auto"/>
      </w:pPr>
      <w:r w:rsidRPr="001F4259">
        <w:t xml:space="preserve">School Year (SY):  </w:t>
      </w:r>
      <w:r w:rsidR="0078505E">
        <w:t>2023</w:t>
      </w:r>
      <w:r w:rsidR="00572631">
        <w:t>–</w:t>
      </w:r>
      <w:r w:rsidR="0078505E">
        <w:t>24</w:t>
      </w:r>
    </w:p>
    <w:p w14:paraId="5205054B" w14:textId="351C8B9E" w:rsidR="009915E0" w:rsidRPr="001F4259" w:rsidRDefault="009915E0" w:rsidP="00F375C5">
      <w:pPr>
        <w:spacing w:after="0" w:line="240" w:lineRule="auto"/>
        <w:rPr>
          <w:rFonts w:ascii="Calibri" w:eastAsia="Times New Roman" w:hAnsi="Calibri" w:cs="Calibri"/>
        </w:rPr>
      </w:pPr>
      <w:r w:rsidRPr="001F4259">
        <w:rPr>
          <w:rFonts w:ascii="Calibri" w:eastAsia="Times New Roman" w:hAnsi="Calibri" w:cs="Calibri"/>
        </w:rPr>
        <w:t xml:space="preserve">As of date:  </w:t>
      </w:r>
      <w:r w:rsidR="00B5069D">
        <w:rPr>
          <w:rFonts w:ascii="Calibri" w:eastAsia="Times New Roman" w:hAnsi="Calibri" w:cs="Calibri"/>
        </w:rPr>
        <w:t>May</w:t>
      </w:r>
      <w:r w:rsidR="00B5069D" w:rsidRPr="001F4259">
        <w:rPr>
          <w:rFonts w:ascii="Calibri" w:eastAsia="Times New Roman" w:hAnsi="Calibri" w:cs="Calibri"/>
        </w:rPr>
        <w:t xml:space="preserve"> </w:t>
      </w:r>
      <w:bookmarkEnd w:id="0"/>
      <w:r w:rsidR="0078505E">
        <w:rPr>
          <w:rFonts w:ascii="Calibri" w:eastAsia="Times New Roman" w:hAnsi="Calibri" w:cs="Calibri"/>
        </w:rPr>
        <w:t>8, 2024</w:t>
      </w:r>
    </w:p>
    <w:p w14:paraId="74C9A48E" w14:textId="6DA79B7D" w:rsidR="00AB41D6" w:rsidRPr="001F4259" w:rsidRDefault="00A74B4F" w:rsidP="00F375C5">
      <w:pPr>
        <w:spacing w:after="0" w:line="240" w:lineRule="auto"/>
      </w:pPr>
      <w:r w:rsidRPr="001F4259">
        <w:t>Format:</w:t>
      </w:r>
      <w:r w:rsidR="00A03C74" w:rsidRPr="001F4259">
        <w:t xml:space="preserve"> </w:t>
      </w:r>
      <w:r w:rsidRPr="001F4259">
        <w:t>SAS and CSV</w:t>
      </w:r>
    </w:p>
    <w:p w14:paraId="35658995" w14:textId="31F15C08" w:rsidR="00A74B4F" w:rsidRPr="001F4259" w:rsidRDefault="00AB41D6" w:rsidP="00F375C5">
      <w:pPr>
        <w:spacing w:after="0" w:line="240" w:lineRule="auto"/>
      </w:pPr>
      <w:r w:rsidRPr="001F4259">
        <w:t xml:space="preserve">Level: </w:t>
      </w:r>
      <w:r w:rsidR="007C0A7B">
        <w:t>Local Education Agency (</w:t>
      </w:r>
      <w:r w:rsidRPr="001F4259">
        <w:t>LEA</w:t>
      </w:r>
      <w:r w:rsidR="007C0A7B">
        <w:t>)</w:t>
      </w:r>
      <w:r w:rsidRPr="001F4259">
        <w:t xml:space="preserve"> and School</w:t>
      </w:r>
    </w:p>
    <w:p w14:paraId="152C180B" w14:textId="77777777" w:rsidR="00F375C5" w:rsidRPr="001F4259" w:rsidRDefault="00F375C5" w:rsidP="00F375C5">
      <w:pPr>
        <w:spacing w:after="0" w:line="240" w:lineRule="auto"/>
      </w:pPr>
    </w:p>
    <w:p w14:paraId="542AF1EC" w14:textId="77777777" w:rsidR="006B5313" w:rsidRPr="001F4259" w:rsidRDefault="006B5313" w:rsidP="006B5313">
      <w:pPr>
        <w:pStyle w:val="Heading2"/>
        <w:spacing w:line="240" w:lineRule="auto"/>
      </w:pPr>
      <w:r w:rsidRPr="001F4259">
        <w:t>Other Resources to Support CCD Data Use</w:t>
      </w:r>
    </w:p>
    <w:p w14:paraId="5BB0B829" w14:textId="73FA8E21" w:rsidR="001114B4" w:rsidRPr="00E95335" w:rsidRDefault="001114B4" w:rsidP="001114B4">
      <w:bookmarkStart w:id="1" w:name="_Hlk13209791"/>
      <w:bookmarkStart w:id="2" w:name="_Hlk6206926"/>
      <w:r w:rsidRPr="00E95335">
        <w:t xml:space="preserve">Refer to the </w:t>
      </w:r>
      <w:hyperlink r:id="rId11" w:history="1">
        <w:r w:rsidRPr="00E95335">
          <w:rPr>
            <w:rStyle w:val="Hyperlink"/>
          </w:rPr>
          <w:t>CCD Online Documentation</w:t>
        </w:r>
      </w:hyperlink>
      <w:r w:rsidRPr="00E95335">
        <w:t xml:space="preserve"> for a full list of CCD resources. </w:t>
      </w:r>
      <w:bookmarkEnd w:id="1"/>
      <w:r w:rsidRPr="00E95335">
        <w:t>Contact the Department of Education’s National Center for Education Statistics</w:t>
      </w:r>
      <w:r w:rsidR="00F026CF">
        <w:t xml:space="preserve"> (NCES)</w:t>
      </w:r>
      <w:r w:rsidRPr="00E95335">
        <w:t>, ED</w:t>
      </w:r>
      <w:r w:rsidRPr="00E95335">
        <w:rPr>
          <w:i/>
        </w:rPr>
        <w:t>Facts</w:t>
      </w:r>
      <w:r w:rsidRPr="00E95335">
        <w:rPr>
          <w:sz w:val="20"/>
        </w:rPr>
        <w:t xml:space="preserve"> </w:t>
      </w:r>
      <w:r w:rsidRPr="00E95335">
        <w:t>Partner Support Center (</w:t>
      </w:r>
      <w:hyperlink r:id="rId12" w:history="1">
        <w:r w:rsidRPr="00E95335">
          <w:rPr>
            <w:rStyle w:val="Hyperlink"/>
          </w:rPr>
          <w:t>EDFacts@ed.gov</w:t>
        </w:r>
      </w:hyperlink>
      <w:r w:rsidRPr="00E95335">
        <w:t xml:space="preserve">) for more information.  </w:t>
      </w:r>
    </w:p>
    <w:bookmarkEnd w:id="2"/>
    <w:p w14:paraId="01027479" w14:textId="77777777" w:rsidR="001114B4" w:rsidRPr="00E95335" w:rsidRDefault="001114B4" w:rsidP="001114B4">
      <w:r w:rsidRPr="00E95335">
        <w:t>While much of the file documentation is unchanged from year to year, the resources listed below are specific to each release cycle:</w:t>
      </w:r>
    </w:p>
    <w:p w14:paraId="563AF024" w14:textId="77777777" w:rsidR="001114B4" w:rsidRPr="00E95335" w:rsidRDefault="001114B4" w:rsidP="001114B4">
      <w:pPr>
        <w:pStyle w:val="ListParagraph"/>
        <w:numPr>
          <w:ilvl w:val="0"/>
          <w:numId w:val="3"/>
        </w:numPr>
        <w:spacing w:after="0" w:line="240" w:lineRule="auto"/>
      </w:pPr>
      <w:r w:rsidRPr="00E95335">
        <w:rPr>
          <w:b/>
        </w:rPr>
        <w:t>Companion files.</w:t>
      </w:r>
      <w:r w:rsidRPr="00E95335">
        <w:t xml:space="preserve">  Each CCD file is paired with a file-specific companion file, which includes the file layout and frequencies for all variables.  </w:t>
      </w:r>
    </w:p>
    <w:p w14:paraId="2E1B7909" w14:textId="77777777" w:rsidR="001114B4" w:rsidRPr="00E95335" w:rsidRDefault="001114B4" w:rsidP="001114B4">
      <w:pPr>
        <w:pStyle w:val="ListParagraph"/>
        <w:numPr>
          <w:ilvl w:val="0"/>
          <w:numId w:val="3"/>
        </w:numPr>
        <w:spacing w:line="240" w:lineRule="auto"/>
      </w:pPr>
      <w:r w:rsidRPr="00E95335">
        <w:rPr>
          <w:b/>
        </w:rPr>
        <w:t>State Data Notes.</w:t>
      </w:r>
      <w:r w:rsidRPr="00E95335">
        <w:t xml:space="preserve"> This document provides detailed information from the data quality follow-up with states for that collection cycle, including information on state trends. </w:t>
      </w:r>
    </w:p>
    <w:p w14:paraId="6EFF190C" w14:textId="77777777" w:rsidR="001114B4" w:rsidRDefault="001114B4" w:rsidP="001114B4">
      <w:pPr>
        <w:pStyle w:val="ListParagraph"/>
        <w:numPr>
          <w:ilvl w:val="0"/>
          <w:numId w:val="3"/>
        </w:numPr>
        <w:spacing w:after="0" w:line="240" w:lineRule="auto"/>
      </w:pPr>
      <w:r w:rsidRPr="00E95335">
        <w:rPr>
          <w:b/>
        </w:rPr>
        <w:t>File specifications.</w:t>
      </w:r>
      <w:r w:rsidRPr="00E95335">
        <w:t xml:space="preserve">  The </w:t>
      </w:r>
      <w:hyperlink r:id="rId13" w:history="1">
        <w:r w:rsidRPr="00E95335">
          <w:rPr>
            <w:rStyle w:val="Hyperlink"/>
          </w:rPr>
          <w:t>ED</w:t>
        </w:r>
        <w:r w:rsidRPr="00E95335">
          <w:rPr>
            <w:rStyle w:val="Hyperlink"/>
            <w:i/>
          </w:rPr>
          <w:t>Facts</w:t>
        </w:r>
        <w:r w:rsidRPr="00E95335">
          <w:rPr>
            <w:rStyle w:val="Hyperlink"/>
          </w:rPr>
          <w:t xml:space="preserve"> file specifications</w:t>
        </w:r>
      </w:hyperlink>
      <w:r w:rsidRPr="00E95335">
        <w:t xml:space="preserve"> contain the guidance states use as they prepare and submit the data files that make up the CCD.  </w:t>
      </w:r>
    </w:p>
    <w:p w14:paraId="65EEB25C" w14:textId="77777777" w:rsidR="001114B4" w:rsidRPr="00E95335" w:rsidRDefault="001114B4" w:rsidP="001114B4">
      <w:pPr>
        <w:pStyle w:val="ListParagraph"/>
        <w:spacing w:after="0" w:line="240" w:lineRule="auto"/>
      </w:pPr>
    </w:p>
    <w:p w14:paraId="722FB6D3" w14:textId="6B6DD7E8" w:rsidR="006B5313" w:rsidRPr="001F4259" w:rsidRDefault="006B5313" w:rsidP="006B5313">
      <w:pPr>
        <w:spacing w:line="240" w:lineRule="auto"/>
      </w:pPr>
      <w:r w:rsidRPr="001F4259">
        <w:t xml:space="preserve">Refer to the NCES blog </w:t>
      </w:r>
      <w:hyperlink r:id="rId14" w:history="1">
        <w:r w:rsidRPr="001F4259">
          <w:rPr>
            <w:rStyle w:val="Hyperlink"/>
          </w:rPr>
          <w:t>Accessing the Common Core of Data (CCD)</w:t>
        </w:r>
      </w:hyperlink>
      <w:r w:rsidRPr="001F4259">
        <w:t xml:space="preserve"> for general information on file structure, unique identifiers, and advice on how to access the data files.</w:t>
      </w:r>
      <w:r w:rsidR="00AD5772" w:rsidRPr="001F4259">
        <w:t xml:space="preserve"> </w:t>
      </w:r>
    </w:p>
    <w:p w14:paraId="4734CEAF" w14:textId="1B7F7B72" w:rsidR="00A41ECB" w:rsidRPr="001F4259" w:rsidRDefault="00A41ECB" w:rsidP="00876C0F">
      <w:pPr>
        <w:pStyle w:val="Heading2"/>
      </w:pPr>
      <w:bookmarkStart w:id="3" w:name="_Hlk87343857"/>
      <w:r w:rsidRPr="001F4259">
        <w:t xml:space="preserve">Missing </w:t>
      </w:r>
      <w:r w:rsidR="00D34734" w:rsidRPr="001F4259">
        <w:t>D</w:t>
      </w:r>
      <w:r w:rsidRPr="001F4259">
        <w:t>ata</w:t>
      </w:r>
    </w:p>
    <w:p w14:paraId="605C9482" w14:textId="45AE5A4D" w:rsidR="00240982" w:rsidRPr="001F4259" w:rsidRDefault="00B5069D" w:rsidP="00A63C2A">
      <w:pPr>
        <w:rPr>
          <w:rFonts w:eastAsia="Times New Roman"/>
        </w:rPr>
      </w:pPr>
      <w:r>
        <w:t>None.</w:t>
      </w:r>
    </w:p>
    <w:p w14:paraId="75845F41" w14:textId="3E78CE63" w:rsidR="00F6161A" w:rsidRPr="001F4259" w:rsidRDefault="00F6161A" w:rsidP="00876C0F">
      <w:pPr>
        <w:pStyle w:val="Heading2"/>
      </w:pPr>
      <w:r w:rsidRPr="001F4259">
        <w:t xml:space="preserve">Data </w:t>
      </w:r>
      <w:r w:rsidR="00D34734" w:rsidRPr="001F4259">
        <w:t>C</w:t>
      </w:r>
      <w:r w:rsidRPr="001F4259">
        <w:t xml:space="preserve">hanges for SY </w:t>
      </w:r>
      <w:r w:rsidR="0078505E">
        <w:t>2023</w:t>
      </w:r>
      <w:r w:rsidR="00572631">
        <w:t>–</w:t>
      </w:r>
      <w:r w:rsidR="0078505E">
        <w:t>24</w:t>
      </w:r>
    </w:p>
    <w:p w14:paraId="432F63F0" w14:textId="5010675A" w:rsidR="003870E2" w:rsidRPr="001F4259" w:rsidRDefault="009915E0" w:rsidP="003870E2">
      <w:bookmarkStart w:id="4" w:name="_Hlk14761784"/>
      <w:bookmarkEnd w:id="3"/>
      <w:r w:rsidRPr="001F4259">
        <w:t>None.</w:t>
      </w:r>
    </w:p>
    <w:p w14:paraId="026905DA" w14:textId="5E5FEBEA" w:rsidR="008C0E4E" w:rsidRPr="001F4259" w:rsidRDefault="008C0E4E" w:rsidP="00955ECF">
      <w:pPr>
        <w:pStyle w:val="Heading2"/>
        <w:spacing w:line="240" w:lineRule="auto"/>
      </w:pPr>
      <w:r w:rsidRPr="001F4259">
        <w:t>Multi-</w:t>
      </w:r>
      <w:r w:rsidR="00D34734" w:rsidRPr="001F4259">
        <w:t>Y</w:t>
      </w:r>
      <w:r w:rsidRPr="001F4259">
        <w:t>ear Summary Tables</w:t>
      </w:r>
    </w:p>
    <w:p w14:paraId="5545AC28" w14:textId="4F8925F8" w:rsidR="00295119" w:rsidRPr="001F4259" w:rsidRDefault="008C0E4E" w:rsidP="00EB5AAC">
      <w:pPr>
        <w:spacing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1F4259">
        <w:t xml:space="preserve">The remaining pages of </w:t>
      </w:r>
      <w:r w:rsidR="00635D2B" w:rsidRPr="001F4259">
        <w:t>th</w:t>
      </w:r>
      <w:r w:rsidR="00373716" w:rsidRPr="001F4259">
        <w:t>ese</w:t>
      </w:r>
      <w:r w:rsidRPr="001F4259">
        <w:t xml:space="preserve"> release note</w:t>
      </w:r>
      <w:r w:rsidR="00394018" w:rsidRPr="001F4259">
        <w:t>s</w:t>
      </w:r>
      <w:r w:rsidR="00635D2B" w:rsidRPr="001F4259">
        <w:t xml:space="preserve"> </w:t>
      </w:r>
      <w:r w:rsidR="009915E0" w:rsidRPr="001F4259">
        <w:t>show the s</w:t>
      </w:r>
      <w:r w:rsidRPr="001F4259">
        <w:t xml:space="preserve">elected frequencies from the </w:t>
      </w:r>
      <w:r w:rsidR="0049213D" w:rsidRPr="001F4259">
        <w:t xml:space="preserve">LEA and </w:t>
      </w:r>
      <w:r w:rsidRPr="001F4259">
        <w:t>school-level data files.</w:t>
      </w:r>
      <w:r w:rsidR="00A03C74" w:rsidRPr="001F4259">
        <w:t xml:space="preserve"> </w:t>
      </w:r>
      <w:r w:rsidR="00D547A3">
        <w:t>These tables show s</w:t>
      </w:r>
      <w:r w:rsidR="00635D2B" w:rsidRPr="001F4259">
        <w:t>ummary values for all states and outlying areas present in the data file</w:t>
      </w:r>
      <w:bookmarkEnd w:id="4"/>
      <w:r w:rsidR="00D547A3">
        <w:t>.</w:t>
      </w:r>
    </w:p>
    <w:p w14:paraId="73A62AFA" w14:textId="05638104" w:rsidR="00BA662B" w:rsidRPr="001F4259" w:rsidRDefault="00BA662B" w:rsidP="005C3D8A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sectPr w:rsidR="00BA662B" w:rsidRPr="001F4259" w:rsidSect="005C3D8A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B044F7" w14:textId="529DE241" w:rsidR="00947122" w:rsidRPr="001F4259" w:rsidRDefault="005C3D8A" w:rsidP="00BA662B">
      <w:pPr>
        <w:keepNext/>
        <w:keepLines/>
        <w:spacing w:before="40" w:after="120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F4259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lastRenderedPageBreak/>
        <w:t>Selected Frequencies</w:t>
      </w:r>
      <w:r w:rsidR="003A1564" w:rsidRPr="001F425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6B7F92CA" w14:textId="15A56648" w:rsidR="00F31F78" w:rsidRPr="001F4259" w:rsidRDefault="000D1483" w:rsidP="00F31F78">
      <w:pPr>
        <w:spacing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1F4259">
        <w:t>Note:</w:t>
      </w:r>
      <w:r w:rsidR="00A03C74" w:rsidRPr="001F4259">
        <w:t xml:space="preserve"> </w:t>
      </w:r>
      <w:r w:rsidR="00C8577A">
        <w:t>T</w:t>
      </w:r>
      <w:r w:rsidRPr="001F4259">
        <w:t>he frequency tables in this group</w:t>
      </w:r>
      <w:r w:rsidR="00ED5A63" w:rsidRPr="001F4259">
        <w:t xml:space="preserve"> are based on records for all reporting jurisdictions and </w:t>
      </w:r>
      <w:r w:rsidRPr="001F4259">
        <w:t>are not restricted to just the 50 states and District of Columbia.</w:t>
      </w:r>
      <w:r w:rsidR="00F31F78" w:rsidRPr="001F4259">
        <w:t xml:space="preserve"> </w:t>
      </w:r>
    </w:p>
    <w:p w14:paraId="0CE4E81F" w14:textId="71625E04" w:rsidR="00E63ED5" w:rsidRPr="001F4259" w:rsidRDefault="00E63ED5" w:rsidP="00D01D90">
      <w:pPr>
        <w:pStyle w:val="Heading3"/>
        <w:spacing w:after="120"/>
        <w:rPr>
          <w:rFonts w:eastAsia="Times New Roman"/>
        </w:rPr>
      </w:pPr>
      <w:r w:rsidRPr="001F4259">
        <w:rPr>
          <w:rFonts w:eastAsia="Times New Roman"/>
        </w:rPr>
        <w:t xml:space="preserve">Table </w:t>
      </w:r>
      <w:r w:rsidR="00EB5AAC" w:rsidRPr="001F4259">
        <w:rPr>
          <w:rFonts w:eastAsia="Times New Roman"/>
        </w:rPr>
        <w:t>1</w:t>
      </w:r>
      <w:r w:rsidRPr="001F4259">
        <w:rPr>
          <w:rFonts w:eastAsia="Times New Roman"/>
        </w:rPr>
        <w:t xml:space="preserve">.1: </w:t>
      </w:r>
      <w:r w:rsidR="000D1483" w:rsidRPr="001F4259">
        <w:rPr>
          <w:rFonts w:eastAsia="Times New Roman"/>
        </w:rPr>
        <w:t>Start of year Status (</w:t>
      </w:r>
      <w:r w:rsidRPr="001F4259">
        <w:rPr>
          <w:rFonts w:eastAsia="Times New Roman"/>
        </w:rPr>
        <w:t>SY_STATUS</w:t>
      </w:r>
      <w:r w:rsidR="000D1483" w:rsidRPr="001F4259">
        <w:rPr>
          <w:rFonts w:eastAsia="Times New Roman"/>
        </w:rPr>
        <w:t>)</w:t>
      </w:r>
      <w:r w:rsidRPr="001F4259">
        <w:rPr>
          <w:rFonts w:eastAsia="Times New Roman"/>
        </w:rPr>
        <w:t xml:space="preserve"> frequency table for all records in the </w:t>
      </w:r>
      <w:r w:rsidR="00395BF0" w:rsidRPr="001F4259">
        <w:rPr>
          <w:rFonts w:eastAsia="Times New Roman"/>
        </w:rPr>
        <w:t xml:space="preserve">LEA </w:t>
      </w:r>
      <w:r w:rsidRPr="001F4259">
        <w:rPr>
          <w:rFonts w:eastAsia="Times New Roman"/>
        </w:rPr>
        <w:t xml:space="preserve">data file: School years </w:t>
      </w:r>
      <w:r w:rsidR="009915E0" w:rsidRPr="001F4259">
        <w:rPr>
          <w:rFonts w:eastAsia="Times New Roman"/>
        </w:rPr>
        <w:t>201</w:t>
      </w:r>
      <w:r w:rsidR="0078505E">
        <w:rPr>
          <w:rFonts w:eastAsia="Times New Roman"/>
        </w:rPr>
        <w:t>9</w:t>
      </w:r>
      <w:r w:rsidR="009915E0" w:rsidRPr="001F4259">
        <w:rPr>
          <w:rFonts w:eastAsia="Times New Roman"/>
        </w:rPr>
        <w:t>–</w:t>
      </w:r>
      <w:r w:rsidR="0078505E">
        <w:rPr>
          <w:rFonts w:eastAsia="Times New Roman"/>
        </w:rPr>
        <w:t>20</w:t>
      </w:r>
      <w:r w:rsidR="00B5069D">
        <w:rPr>
          <w:rFonts w:eastAsia="Times New Roman"/>
        </w:rPr>
        <w:t xml:space="preserve"> </w:t>
      </w:r>
      <w:r w:rsidRPr="001F4259">
        <w:rPr>
          <w:rFonts w:eastAsia="Times New Roman"/>
        </w:rPr>
        <w:t xml:space="preserve">through </w:t>
      </w:r>
      <w:r w:rsidR="009915E0" w:rsidRPr="001F4259">
        <w:t>202</w:t>
      </w:r>
      <w:r w:rsidR="0078505E">
        <w:t>3</w:t>
      </w:r>
      <w:r w:rsidR="009915E0" w:rsidRPr="001F4259">
        <w:rPr>
          <w:rFonts w:eastAsia="Times New Roman"/>
        </w:rPr>
        <w:t>–</w:t>
      </w:r>
      <w:r w:rsidR="009915E0" w:rsidRPr="001F4259">
        <w:t>2</w:t>
      </w:r>
      <w:r w:rsidR="0078505E">
        <w:t>4</w:t>
      </w:r>
    </w:p>
    <w:tbl>
      <w:tblPr>
        <w:tblStyle w:val="TableGrid1"/>
        <w:tblW w:w="4585" w:type="pct"/>
        <w:tblLayout w:type="fixed"/>
        <w:tblLook w:val="04A0" w:firstRow="1" w:lastRow="0" w:firstColumn="1" w:lastColumn="0" w:noHBand="0" w:noVBand="1"/>
      </w:tblPr>
      <w:tblGrid>
        <w:gridCol w:w="3060"/>
        <w:gridCol w:w="1164"/>
        <w:gridCol w:w="629"/>
        <w:gridCol w:w="1171"/>
        <w:gridCol w:w="632"/>
        <w:gridCol w:w="1171"/>
        <w:gridCol w:w="539"/>
        <w:gridCol w:w="1171"/>
        <w:gridCol w:w="542"/>
        <w:gridCol w:w="1259"/>
        <w:gridCol w:w="537"/>
      </w:tblGrid>
      <w:tr w:rsidR="0078505E" w:rsidRPr="001F4259" w14:paraId="70C55695" w14:textId="4B8BD74D" w:rsidTr="00EA03CA">
        <w:tc>
          <w:tcPr>
            <w:tcW w:w="1288" w:type="pct"/>
            <w:shd w:val="clear" w:color="auto" w:fill="DEEAF6" w:themeFill="accent5" w:themeFillTint="33"/>
          </w:tcPr>
          <w:p w14:paraId="7DD51DAE" w14:textId="10E86D69" w:rsidR="0078505E" w:rsidRPr="001F4259" w:rsidRDefault="0078505E" w:rsidP="0078505E">
            <w:pPr>
              <w:rPr>
                <w:rFonts w:eastAsia="Times New Roman" w:cs="Times New Roman"/>
                <w:b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sz w:val="16"/>
                <w:szCs w:val="16"/>
              </w:rPr>
              <w:t>Start of year Status (SY_STATUS)</w:t>
            </w:r>
          </w:p>
        </w:tc>
        <w:tc>
          <w:tcPr>
            <w:tcW w:w="490" w:type="pct"/>
            <w:shd w:val="clear" w:color="auto" w:fill="DEEAF6" w:themeFill="accent5" w:themeFillTint="33"/>
            <w:vAlign w:val="bottom"/>
          </w:tcPr>
          <w:p w14:paraId="2313941B" w14:textId="421B25FE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2019–20</w:t>
            </w:r>
          </w:p>
        </w:tc>
        <w:tc>
          <w:tcPr>
            <w:tcW w:w="265" w:type="pct"/>
            <w:shd w:val="clear" w:color="auto" w:fill="DEEAF6" w:themeFill="accent5" w:themeFillTint="33"/>
            <w:vAlign w:val="bottom"/>
          </w:tcPr>
          <w:p w14:paraId="41258981" w14:textId="172CA1E0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493" w:type="pct"/>
            <w:tcBorders>
              <w:bottom w:val="single" w:sz="4" w:space="0" w:color="auto"/>
            </w:tcBorders>
            <w:shd w:val="clear" w:color="auto" w:fill="DEEAF6" w:themeFill="accent5" w:themeFillTint="33"/>
            <w:vAlign w:val="bottom"/>
          </w:tcPr>
          <w:p w14:paraId="69B7833A" w14:textId="1E0CAD95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2020–21</w:t>
            </w:r>
          </w:p>
        </w:tc>
        <w:tc>
          <w:tcPr>
            <w:tcW w:w="266" w:type="pct"/>
            <w:tcBorders>
              <w:bottom w:val="single" w:sz="4" w:space="0" w:color="auto"/>
            </w:tcBorders>
            <w:shd w:val="clear" w:color="auto" w:fill="DEEAF6" w:themeFill="accent5" w:themeFillTint="33"/>
            <w:vAlign w:val="bottom"/>
          </w:tcPr>
          <w:p w14:paraId="42E0A030" w14:textId="3515181F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493" w:type="pct"/>
            <w:tcBorders>
              <w:bottom w:val="single" w:sz="4" w:space="0" w:color="auto"/>
            </w:tcBorders>
            <w:shd w:val="clear" w:color="auto" w:fill="DEEAF6" w:themeFill="accent5" w:themeFillTint="33"/>
            <w:vAlign w:val="bottom"/>
          </w:tcPr>
          <w:p w14:paraId="04134D70" w14:textId="310C57F0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2021-22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DEEAF6" w:themeFill="accent5" w:themeFillTint="33"/>
            <w:vAlign w:val="bottom"/>
          </w:tcPr>
          <w:p w14:paraId="738E64AD" w14:textId="41B585FC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493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6648891" w14:textId="54274D49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SY 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2022–23</w:t>
            </w:r>
          </w:p>
        </w:tc>
        <w:tc>
          <w:tcPr>
            <w:tcW w:w="228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9D7D7A7" w14:textId="045E32E0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30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32F9674" w14:textId="67CE4FE0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2023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–2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ECF8EFF" w14:textId="199031E1" w:rsidR="0078505E" w:rsidRPr="001F4259" w:rsidRDefault="0078505E" w:rsidP="007850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</w:tr>
      <w:tr w:rsidR="001B6ED4" w:rsidRPr="001F4259" w14:paraId="23AED988" w14:textId="0BADA74E" w:rsidTr="00A8215D">
        <w:tc>
          <w:tcPr>
            <w:tcW w:w="1288" w:type="pct"/>
          </w:tcPr>
          <w:p w14:paraId="5D978092" w14:textId="77777777" w:rsidR="001B6ED4" w:rsidRPr="001F4259" w:rsidRDefault="001B6ED4" w:rsidP="001B6ED4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1-Open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DB1D" w14:textId="1DD7222D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19,247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2D4DC" w14:textId="772F5AEA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97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D5B0" w14:textId="4F1DD004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19,319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E9EB" w14:textId="3D5BB90F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98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9A97" w14:textId="183C860F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19,359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65E1" w14:textId="593F7E49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98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E75" w14:textId="73BF9B5F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19,264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A4AB" w14:textId="771A6829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93F46" w14:textId="4AD939BA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19,278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80692" w14:textId="30E36E17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98</w:t>
            </w:r>
          </w:p>
        </w:tc>
      </w:tr>
      <w:tr w:rsidR="001B6ED4" w:rsidRPr="001F4259" w14:paraId="4E7F6C14" w14:textId="0920E177" w:rsidTr="00A8215D">
        <w:trPr>
          <w:trHeight w:val="70"/>
        </w:trPr>
        <w:tc>
          <w:tcPr>
            <w:tcW w:w="1288" w:type="pct"/>
          </w:tcPr>
          <w:p w14:paraId="05DBF400" w14:textId="77777777" w:rsidR="001B6ED4" w:rsidRPr="001F4259" w:rsidRDefault="001B6ED4" w:rsidP="001B6ED4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2-Closed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5CCD1" w14:textId="621254E5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256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F7745" w14:textId="32C097A3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C9837" w14:textId="2EB628B6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119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9231" w14:textId="6D11BD81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B71" w14:textId="7C031C0C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121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8550" w14:textId="2EB3EBD3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6D66" w14:textId="65E010B7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CB41" w14:textId="4E78DB54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84A43" w14:textId="37B90DB7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137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63E36" w14:textId="0639307F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</w:p>
        </w:tc>
      </w:tr>
      <w:tr w:rsidR="001B6ED4" w:rsidRPr="001F4259" w14:paraId="31CFBCA4" w14:textId="4C3D8F5C" w:rsidTr="00A8215D">
        <w:tc>
          <w:tcPr>
            <w:tcW w:w="1288" w:type="pct"/>
          </w:tcPr>
          <w:p w14:paraId="09621841" w14:textId="77777777" w:rsidR="001B6ED4" w:rsidRPr="001F4259" w:rsidRDefault="001B6ED4" w:rsidP="001B6ED4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3-New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0B850" w14:textId="754EBA71" w:rsidR="001B6ED4" w:rsidRPr="001F4259" w:rsidRDefault="001B6ED4" w:rsidP="001B6ED4">
            <w:pPr>
              <w:ind w:right="-36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167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BCCE0" w14:textId="67F9BC1E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B246B" w14:textId="4D9FB337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135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5FB34" w14:textId="7AB5E55A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6854" w14:textId="6120AD54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104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3249" w14:textId="3458202E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F042" w14:textId="69642C9B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08A3" w14:textId="5EC8FF9E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EAE9E" w14:textId="18FD1E1A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109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18BEB" w14:textId="4ACBC5D0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</w:p>
        </w:tc>
      </w:tr>
      <w:tr w:rsidR="001B6ED4" w:rsidRPr="001F4259" w14:paraId="0982C884" w14:textId="6651ABDB" w:rsidTr="00A8215D">
        <w:tc>
          <w:tcPr>
            <w:tcW w:w="1288" w:type="pct"/>
          </w:tcPr>
          <w:p w14:paraId="0984AE7B" w14:textId="77777777" w:rsidR="001B6ED4" w:rsidRPr="001F4259" w:rsidRDefault="001B6ED4" w:rsidP="001B6ED4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4-Added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FDF83" w14:textId="73F6DDA6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E6F39" w14:textId="47199DAB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B20D5" w14:textId="0BCB18B1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5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7716" w14:textId="65FA11DE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C91A" w14:textId="367A3B12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6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9FB" w14:textId="42E619E4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A7D4" w14:textId="0308B146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5159" w14:textId="3D72F385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C361C" w14:textId="2AE760D4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2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AE991" w14:textId="3A86F30F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1B6ED4" w:rsidRPr="001F4259" w14:paraId="7733B1D0" w14:textId="7D1F46EC" w:rsidTr="00A8215D">
        <w:tc>
          <w:tcPr>
            <w:tcW w:w="1288" w:type="pct"/>
          </w:tcPr>
          <w:p w14:paraId="795325D3" w14:textId="5C810477" w:rsidR="001B6ED4" w:rsidRPr="001F4259" w:rsidRDefault="001B6ED4" w:rsidP="001B6ED4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5-Changed Boundary/Agency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90F70" w14:textId="3B6A9930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0A96" w14:textId="6D1884E9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CF301" w14:textId="51A3EF04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515D" w14:textId="609558A6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DD58" w14:textId="532989C1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12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57A" w14:textId="5CD5BC59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95E4" w14:textId="4EE840E4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1928" w14:textId="2258DB31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8315E" w14:textId="1085FE78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0D77A" w14:textId="48960E5C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1B6ED4" w:rsidRPr="001F4259" w14:paraId="57742816" w14:textId="39873405" w:rsidTr="00A8215D">
        <w:tc>
          <w:tcPr>
            <w:tcW w:w="1288" w:type="pct"/>
          </w:tcPr>
          <w:p w14:paraId="15396BA8" w14:textId="77777777" w:rsidR="001B6ED4" w:rsidRPr="001F4259" w:rsidRDefault="001B6ED4" w:rsidP="001B6ED4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6-Inactive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CBAD6" w14:textId="627CDB91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39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861A2" w14:textId="7FFA89A3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9168" w14:textId="30D1F834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ABBB6" w14:textId="62224D0B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874" w14:textId="6DD83B73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46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843F" w14:textId="59D4EA76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4B65" w14:textId="50F4BE88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3E13" w14:textId="67A77C11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5135" w14:textId="26009408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48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36F59" w14:textId="044232A2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1B6ED4" w:rsidRPr="001F4259" w14:paraId="572CA935" w14:textId="3A336068" w:rsidTr="00A8215D">
        <w:tc>
          <w:tcPr>
            <w:tcW w:w="1288" w:type="pct"/>
          </w:tcPr>
          <w:p w14:paraId="1E32C74F" w14:textId="39314671" w:rsidR="001B6ED4" w:rsidRPr="001F4259" w:rsidRDefault="001B6ED4" w:rsidP="001B6ED4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7-Future 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DEA5" w14:textId="46572F4E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71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3BE1" w14:textId="4183AECE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E6B22" w14:textId="6E55357F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60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A7EA" w14:textId="47680938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021" w14:textId="2FFD0C1E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61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6606" w14:textId="7510DF59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C2F0" w14:textId="1CF9A747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4C26" w14:textId="13ADF886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1C7A0" w14:textId="68D4C118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39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63CA9" w14:textId="78E3A38E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1B6ED4" w:rsidRPr="001F4259" w14:paraId="3B5418C7" w14:textId="6A521927" w:rsidTr="00A8215D">
        <w:tc>
          <w:tcPr>
            <w:tcW w:w="1288" w:type="pct"/>
          </w:tcPr>
          <w:p w14:paraId="67644C7D" w14:textId="77777777" w:rsidR="001B6ED4" w:rsidRPr="001F4259" w:rsidRDefault="001B6ED4" w:rsidP="001B6ED4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8-Reopened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AA023" w14:textId="423DEEF7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E5E9E" w14:textId="3294607E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C2598" w14:textId="0D0904FF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C95AC" w14:textId="69CA8D6D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E265" w14:textId="17534C92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4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3A80" w14:textId="1CD781DE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4CD" w14:textId="4F2ADA16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BDBA" w14:textId="469B1E00" w:rsidR="001B6ED4" w:rsidRPr="001F4259" w:rsidRDefault="001B6ED4" w:rsidP="001B6ED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EE0B" w14:textId="4704AAC2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4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CD60" w14:textId="3BFD314E" w:rsidR="001B6ED4" w:rsidRPr="00A8215D" w:rsidRDefault="001B6ED4" w:rsidP="001B6ED4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1B6ED4" w:rsidRPr="001F4259" w14:paraId="0F84124D" w14:textId="7622BE67" w:rsidTr="00A8215D">
        <w:trPr>
          <w:trHeight w:val="70"/>
        </w:trPr>
        <w:tc>
          <w:tcPr>
            <w:tcW w:w="1288" w:type="pct"/>
            <w:shd w:val="clear" w:color="auto" w:fill="DEEAF6" w:themeFill="accent5" w:themeFillTint="33"/>
          </w:tcPr>
          <w:p w14:paraId="24476961" w14:textId="77777777" w:rsidR="001B6ED4" w:rsidRPr="001F4259" w:rsidRDefault="001B6ED4" w:rsidP="001B6ED4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90" w:type="pct"/>
            <w:shd w:val="clear" w:color="auto" w:fill="DEEAF6" w:themeFill="accent5" w:themeFillTint="33"/>
          </w:tcPr>
          <w:p w14:paraId="0EBBEAD4" w14:textId="2D96F16F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19,828</w:t>
            </w:r>
          </w:p>
        </w:tc>
        <w:tc>
          <w:tcPr>
            <w:tcW w:w="265" w:type="pct"/>
            <w:shd w:val="clear" w:color="auto" w:fill="DEEAF6" w:themeFill="accent5" w:themeFillTint="33"/>
          </w:tcPr>
          <w:p w14:paraId="5A2C6D61" w14:textId="5ECCAB80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93" w:type="pct"/>
            <w:shd w:val="clear" w:color="auto" w:fill="DEEAF6" w:themeFill="accent5" w:themeFillTint="33"/>
          </w:tcPr>
          <w:p w14:paraId="35DF7256" w14:textId="54820A6A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19,690</w:t>
            </w:r>
          </w:p>
        </w:tc>
        <w:tc>
          <w:tcPr>
            <w:tcW w:w="266" w:type="pct"/>
            <w:shd w:val="clear" w:color="auto" w:fill="DEEAF6" w:themeFill="accent5" w:themeFillTint="33"/>
          </w:tcPr>
          <w:p w14:paraId="62CB0A21" w14:textId="0C66B18E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93" w:type="pct"/>
            <w:shd w:val="clear" w:color="auto" w:fill="DEEAF6" w:themeFill="accent5" w:themeFillTint="33"/>
          </w:tcPr>
          <w:p w14:paraId="4CD73CD9" w14:textId="200287F3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63C2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,</w:t>
            </w:r>
            <w:r w:rsidRPr="00A63C2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713</w:t>
            </w:r>
          </w:p>
        </w:tc>
        <w:tc>
          <w:tcPr>
            <w:tcW w:w="227" w:type="pct"/>
            <w:shd w:val="clear" w:color="auto" w:fill="DEEAF6" w:themeFill="accent5" w:themeFillTint="33"/>
          </w:tcPr>
          <w:p w14:paraId="78462400" w14:textId="017A28D2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93" w:type="pct"/>
            <w:shd w:val="clear" w:color="auto" w:fill="DEEAF6" w:themeFill="accent5" w:themeFillTint="33"/>
          </w:tcPr>
          <w:p w14:paraId="0E75140D" w14:textId="389BFCCB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19,710</w:t>
            </w:r>
          </w:p>
        </w:tc>
        <w:tc>
          <w:tcPr>
            <w:tcW w:w="228" w:type="pct"/>
            <w:shd w:val="clear" w:color="auto" w:fill="DEEAF6" w:themeFill="accent5" w:themeFillTint="33"/>
          </w:tcPr>
          <w:p w14:paraId="3C8EDFB6" w14:textId="01FDC2F1" w:rsidR="001B6ED4" w:rsidRPr="001F4259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30" w:type="pct"/>
            <w:shd w:val="clear" w:color="auto" w:fill="auto"/>
          </w:tcPr>
          <w:p w14:paraId="484E7CBA" w14:textId="1353AF7C" w:rsidR="001B6ED4" w:rsidRPr="00A8215D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19,627</w:t>
            </w:r>
          </w:p>
        </w:tc>
        <w:tc>
          <w:tcPr>
            <w:tcW w:w="226" w:type="pct"/>
            <w:shd w:val="clear" w:color="auto" w:fill="auto"/>
          </w:tcPr>
          <w:p w14:paraId="2DEF7027" w14:textId="2179E551" w:rsidR="001B6ED4" w:rsidRPr="00A8215D" w:rsidRDefault="001B6ED4" w:rsidP="001B6ED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</w:tr>
    </w:tbl>
    <w:p w14:paraId="28BCF35B" w14:textId="0F48222E" w:rsidR="0004349E" w:rsidRPr="009B11FA" w:rsidRDefault="0004349E" w:rsidP="00C0290E">
      <w:pPr>
        <w:spacing w:after="0" w:line="240" w:lineRule="auto"/>
        <w:rPr>
          <w:rFonts w:ascii="Calibri" w:eastAsia="Times New Roman" w:hAnsi="Calibri" w:cs="Times New Roman"/>
          <w:bCs/>
          <w:sz w:val="16"/>
          <w:szCs w:val="16"/>
        </w:rPr>
      </w:pPr>
      <w:r w:rsidRPr="009B11FA">
        <w:rPr>
          <w:rFonts w:ascii="Calibri" w:eastAsia="Times New Roman" w:hAnsi="Calibri" w:cs="Times New Roman"/>
          <w:bCs/>
          <w:sz w:val="16"/>
          <w:szCs w:val="16"/>
        </w:rPr>
        <w:t># Rounds to zero.</w:t>
      </w:r>
    </w:p>
    <w:p w14:paraId="5EE46CE3" w14:textId="4012C28A" w:rsidR="0004349E" w:rsidRPr="009B11FA" w:rsidRDefault="000819E6" w:rsidP="00003965">
      <w:pPr>
        <w:spacing w:after="0" w:line="240" w:lineRule="auto"/>
        <w:rPr>
          <w:rFonts w:ascii="Calibri" w:eastAsia="Times New Roman" w:hAnsi="Calibri" w:cs="Times New Roman"/>
          <w:bCs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sz w:val="16"/>
          <w:szCs w:val="16"/>
        </w:rPr>
        <w:t>NOTE</w:t>
      </w:r>
      <w:r w:rsidR="0004349E" w:rsidRPr="009B11FA">
        <w:rPr>
          <w:rFonts w:ascii="Calibri" w:eastAsia="Times New Roman" w:hAnsi="Calibri" w:cs="Times New Roman"/>
          <w:bCs/>
          <w:sz w:val="16"/>
          <w:szCs w:val="16"/>
        </w:rPr>
        <w:t>: Detail may not sum to totals due to rounding.</w:t>
      </w:r>
    </w:p>
    <w:p w14:paraId="698B3858" w14:textId="6ECAD402" w:rsidR="00D55D34" w:rsidRPr="009B11FA" w:rsidRDefault="00D55D34" w:rsidP="00947122">
      <w:pPr>
        <w:spacing w:after="240" w:line="240" w:lineRule="auto"/>
        <w:rPr>
          <w:rFonts w:ascii="Calibri" w:eastAsia="Times New Roman" w:hAnsi="Calibri" w:cs="Times New Roman"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bCs/>
          <w:sz w:val="16"/>
          <w:szCs w:val="16"/>
        </w:rPr>
        <w:t>SOURCE: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 U.S. Department of Education, National Center for Education Statistics, Common Core of Data (CCD), "Public Elementary/Secondary </w:t>
      </w:r>
      <w:r w:rsidR="00C05FF5" w:rsidRPr="009B11FA">
        <w:rPr>
          <w:rFonts w:ascii="Calibri" w:eastAsia="Times New Roman" w:hAnsi="Calibri" w:cs="Times New Roman"/>
          <w:sz w:val="16"/>
          <w:szCs w:val="16"/>
        </w:rPr>
        <w:t xml:space="preserve">Local Education Agency (LEA) </w:t>
      </w:r>
      <w:r w:rsidRPr="009B11FA">
        <w:rPr>
          <w:rFonts w:ascii="Calibri" w:eastAsia="Times New Roman" w:hAnsi="Calibri" w:cs="Times New Roman"/>
          <w:sz w:val="16"/>
          <w:szCs w:val="16"/>
        </w:rPr>
        <w:t>Universe Survey</w:t>
      </w:r>
      <w:r w:rsidR="009F7FD2" w:rsidRPr="009B11FA">
        <w:rPr>
          <w:rFonts w:ascii="Calibri" w:eastAsia="Times New Roman" w:hAnsi="Calibri" w:cs="Times New Roman"/>
          <w:sz w:val="16"/>
          <w:szCs w:val="16"/>
        </w:rPr>
        <w:t>,</w:t>
      </w:r>
      <w:r w:rsidRPr="009B11FA">
        <w:rPr>
          <w:rFonts w:ascii="Calibri" w:eastAsia="Times New Roman" w:hAnsi="Calibri" w:cs="Times New Roman"/>
          <w:sz w:val="16"/>
          <w:szCs w:val="16"/>
        </w:rPr>
        <w:t>" 201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9</w:t>
      </w:r>
      <w:r w:rsidR="009E1070" w:rsidRPr="009B11FA">
        <w:rPr>
          <w:rFonts w:ascii="Calibri" w:eastAsia="Times New Roman" w:hAnsi="Calibri" w:cs="Times New Roman"/>
          <w:sz w:val="16"/>
          <w:szCs w:val="16"/>
        </w:rPr>
        <w:t>–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20</w:t>
      </w:r>
      <w:r w:rsidR="00B5069D" w:rsidRPr="009B11FA">
        <w:rPr>
          <w:rFonts w:ascii="Calibri" w:eastAsia="Times New Roman" w:hAnsi="Calibri" w:cs="Times New Roman"/>
          <w:sz w:val="16"/>
          <w:szCs w:val="16"/>
        </w:rPr>
        <w:t xml:space="preserve"> 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through </w:t>
      </w:r>
      <w:r w:rsidR="0036598D" w:rsidRPr="009B11FA">
        <w:rPr>
          <w:rFonts w:ascii="Calibri" w:eastAsia="Times New Roman" w:hAnsi="Calibri" w:cs="Times New Roman"/>
          <w:sz w:val="16"/>
          <w:szCs w:val="16"/>
        </w:rPr>
        <w:t>202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2</w:t>
      </w:r>
      <w:r w:rsidR="0036598D" w:rsidRPr="009B11FA">
        <w:rPr>
          <w:rFonts w:ascii="Calibri" w:eastAsia="Times New Roman" w:hAnsi="Calibri" w:cs="Times New Roman"/>
          <w:sz w:val="16"/>
          <w:szCs w:val="16"/>
        </w:rPr>
        <w:t>–2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3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 Version 1a</w:t>
      </w:r>
      <w:r w:rsidR="009915E0" w:rsidRPr="009B11FA">
        <w:rPr>
          <w:rFonts w:ascii="Calibri" w:eastAsia="Times New Roman" w:hAnsi="Calibri" w:cs="Times New Roman"/>
          <w:sz w:val="16"/>
          <w:szCs w:val="16"/>
        </w:rPr>
        <w:t>, 202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3</w:t>
      </w:r>
      <w:r w:rsidR="001114B4" w:rsidRPr="009B11FA">
        <w:rPr>
          <w:rFonts w:ascii="Calibri" w:eastAsia="Times New Roman" w:hAnsi="Calibri" w:cs="Times New Roman"/>
          <w:sz w:val="16"/>
          <w:szCs w:val="16"/>
        </w:rPr>
        <w:t>–</w:t>
      </w:r>
      <w:r w:rsidR="009915E0" w:rsidRPr="009B11FA">
        <w:rPr>
          <w:rFonts w:ascii="Calibri" w:eastAsia="Times New Roman" w:hAnsi="Calibri" w:cs="Times New Roman"/>
          <w:sz w:val="16"/>
          <w:szCs w:val="16"/>
        </w:rPr>
        <w:t>2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4</w:t>
      </w:r>
      <w:r w:rsidR="009915E0" w:rsidRPr="009B11FA">
        <w:rPr>
          <w:rFonts w:ascii="Calibri" w:eastAsia="Times New Roman" w:hAnsi="Calibri" w:cs="Times New Roman"/>
          <w:sz w:val="16"/>
          <w:szCs w:val="16"/>
        </w:rPr>
        <w:t xml:space="preserve"> Preliminary 0a.</w:t>
      </w:r>
    </w:p>
    <w:p w14:paraId="521FD65D" w14:textId="45854DCE" w:rsidR="00E63ED5" w:rsidRPr="001F4259" w:rsidRDefault="00E63ED5" w:rsidP="00D01D90">
      <w:pPr>
        <w:pStyle w:val="Heading3"/>
        <w:spacing w:after="120"/>
        <w:rPr>
          <w:rFonts w:eastAsia="Times New Roman"/>
        </w:rPr>
      </w:pPr>
      <w:r w:rsidRPr="001F4259">
        <w:rPr>
          <w:rFonts w:eastAsia="Times New Roman"/>
        </w:rPr>
        <w:t xml:space="preserve">Table </w:t>
      </w:r>
      <w:r w:rsidR="00EB5AAC" w:rsidRPr="001F4259">
        <w:rPr>
          <w:rFonts w:eastAsia="Times New Roman"/>
        </w:rPr>
        <w:t>1</w:t>
      </w:r>
      <w:r w:rsidRPr="001F4259">
        <w:rPr>
          <w:rFonts w:eastAsia="Times New Roman"/>
        </w:rPr>
        <w:t xml:space="preserve">.2: </w:t>
      </w:r>
      <w:r w:rsidR="000D1483" w:rsidRPr="001F4259">
        <w:rPr>
          <w:rFonts w:eastAsia="Times New Roman"/>
        </w:rPr>
        <w:t>LEA Type (</w:t>
      </w:r>
      <w:r w:rsidRPr="001F4259">
        <w:rPr>
          <w:rFonts w:eastAsia="Times New Roman"/>
        </w:rPr>
        <w:t>LEA_TYPE</w:t>
      </w:r>
      <w:r w:rsidR="000D1483" w:rsidRPr="001F4259">
        <w:rPr>
          <w:rFonts w:eastAsia="Times New Roman"/>
        </w:rPr>
        <w:t>)</w:t>
      </w:r>
      <w:r w:rsidRPr="001F4259">
        <w:rPr>
          <w:rFonts w:eastAsia="Times New Roman"/>
        </w:rPr>
        <w:t xml:space="preserve"> frequency table for all records in the </w:t>
      </w:r>
      <w:r w:rsidR="00F026CF">
        <w:rPr>
          <w:rFonts w:eastAsia="Times New Roman"/>
        </w:rPr>
        <w:t xml:space="preserve">LEA </w:t>
      </w:r>
      <w:r w:rsidRPr="001F4259">
        <w:rPr>
          <w:rFonts w:eastAsia="Times New Roman"/>
        </w:rPr>
        <w:t xml:space="preserve">data file: </w:t>
      </w:r>
      <w:r w:rsidR="0078505E" w:rsidRPr="001F4259">
        <w:rPr>
          <w:rFonts w:eastAsia="Times New Roman"/>
        </w:rPr>
        <w:t>School years 201</w:t>
      </w:r>
      <w:r w:rsidR="0078505E">
        <w:rPr>
          <w:rFonts w:eastAsia="Times New Roman"/>
        </w:rPr>
        <w:t>9</w:t>
      </w:r>
      <w:r w:rsidR="0078505E" w:rsidRPr="001F4259">
        <w:rPr>
          <w:rFonts w:eastAsia="Times New Roman"/>
        </w:rPr>
        <w:t>–</w:t>
      </w:r>
      <w:r w:rsidR="0078505E">
        <w:rPr>
          <w:rFonts w:eastAsia="Times New Roman"/>
        </w:rPr>
        <w:t xml:space="preserve">20 </w:t>
      </w:r>
      <w:r w:rsidR="0078505E" w:rsidRPr="001F4259">
        <w:rPr>
          <w:rFonts w:eastAsia="Times New Roman"/>
        </w:rPr>
        <w:t xml:space="preserve">through </w:t>
      </w:r>
      <w:r w:rsidR="0078505E" w:rsidRPr="001F4259">
        <w:t>202</w:t>
      </w:r>
      <w:r w:rsidR="0078505E">
        <w:t>3</w:t>
      </w:r>
      <w:r w:rsidR="0078505E" w:rsidRPr="001F4259">
        <w:rPr>
          <w:rFonts w:eastAsia="Times New Roman"/>
        </w:rPr>
        <w:t>–</w:t>
      </w:r>
      <w:r w:rsidR="0078505E" w:rsidRPr="001F4259">
        <w:t>2</w:t>
      </w:r>
      <w:r w:rsidR="0078505E">
        <w:t>4</w:t>
      </w:r>
    </w:p>
    <w:tbl>
      <w:tblPr>
        <w:tblStyle w:val="TableGrid1"/>
        <w:tblW w:w="12955" w:type="dxa"/>
        <w:tblLayout w:type="fixed"/>
        <w:tblLook w:val="04A0" w:firstRow="1" w:lastRow="0" w:firstColumn="1" w:lastColumn="0" w:noHBand="0" w:noVBand="1"/>
      </w:tblPr>
      <w:tblGrid>
        <w:gridCol w:w="5305"/>
        <w:gridCol w:w="990"/>
        <w:gridCol w:w="518"/>
        <w:gridCol w:w="990"/>
        <w:gridCol w:w="540"/>
        <w:gridCol w:w="990"/>
        <w:gridCol w:w="518"/>
        <w:gridCol w:w="990"/>
        <w:gridCol w:w="584"/>
        <w:gridCol w:w="990"/>
        <w:gridCol w:w="540"/>
      </w:tblGrid>
      <w:tr w:rsidR="0078505E" w:rsidRPr="001F4259" w14:paraId="5054FC75" w14:textId="5DEF1138" w:rsidTr="002B6149">
        <w:tc>
          <w:tcPr>
            <w:tcW w:w="5305" w:type="dxa"/>
            <w:shd w:val="clear" w:color="auto" w:fill="DEEAF6" w:themeFill="accent5" w:themeFillTint="33"/>
          </w:tcPr>
          <w:p w14:paraId="2ACB0EE1" w14:textId="5C5DF95B" w:rsidR="0078505E" w:rsidRPr="001F4259" w:rsidRDefault="0078505E" w:rsidP="0078505E">
            <w:pPr>
              <w:rPr>
                <w:rFonts w:eastAsia="Times New Roman" w:cs="Times New Roman"/>
                <w:b/>
                <w:sz w:val="16"/>
                <w:szCs w:val="16"/>
                <w:lang w:val="fr-FR"/>
              </w:rPr>
            </w:pPr>
            <w:r w:rsidRPr="001F4259">
              <w:rPr>
                <w:rFonts w:eastAsia="Times New Roman" w:cs="Times New Roman"/>
                <w:b/>
                <w:sz w:val="16"/>
                <w:szCs w:val="16"/>
              </w:rPr>
              <w:t xml:space="preserve"> </w:t>
            </w:r>
            <w:r w:rsidRPr="001F4259">
              <w:rPr>
                <w:rFonts w:eastAsia="Times New Roman" w:cs="Times New Roman"/>
                <w:b/>
                <w:sz w:val="16"/>
                <w:szCs w:val="16"/>
                <w:lang w:val="fr-FR"/>
              </w:rPr>
              <w:t>LEA Type (LEA_TYPE)</w:t>
            </w:r>
          </w:p>
        </w:tc>
        <w:tc>
          <w:tcPr>
            <w:tcW w:w="990" w:type="dxa"/>
            <w:shd w:val="clear" w:color="auto" w:fill="DEEAF6" w:themeFill="accent5" w:themeFillTint="33"/>
          </w:tcPr>
          <w:p w14:paraId="34BBFAF9" w14:textId="0427D7A8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2019–20</w:t>
            </w:r>
          </w:p>
        </w:tc>
        <w:tc>
          <w:tcPr>
            <w:tcW w:w="518" w:type="dxa"/>
            <w:shd w:val="clear" w:color="auto" w:fill="DEEAF6" w:themeFill="accent5" w:themeFillTint="33"/>
          </w:tcPr>
          <w:p w14:paraId="2A97E4B2" w14:textId="2E78ACA4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4D9B9A8" w14:textId="69AAAD10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2020–21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D885679" w14:textId="435F1B51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618574E" w14:textId="6A03A1FE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2021-22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EDA28C5" w14:textId="1ABC9341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BBFCC72" w14:textId="2BBEAE94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SY 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2022–23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993CC25" w14:textId="1A060124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17D632A" w14:textId="3ED5A30B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2023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–2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7746989" w14:textId="4584B6DD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</w:tr>
      <w:tr w:rsidR="0078505E" w:rsidRPr="001F4259" w14:paraId="0020A2E1" w14:textId="08017E98" w:rsidTr="0056641F">
        <w:tc>
          <w:tcPr>
            <w:tcW w:w="5305" w:type="dxa"/>
          </w:tcPr>
          <w:p w14:paraId="67660173" w14:textId="77777777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1-Regular public school district that is not a component of a supervisory union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D74FE" w14:textId="3D371491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13,258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DD936" w14:textId="40320009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67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57DAF" w14:textId="5E3B31C1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13,246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62EE3" w14:textId="6C1CE27B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67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2525" w14:textId="727289D9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13,225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F72C" w14:textId="5D7977AD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EDE7" w14:textId="134DB4F3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13,387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FC81" w14:textId="19A86A1B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B268" w14:textId="1278B79D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13,3</w:t>
            </w:r>
            <w:r w:rsidR="00392211" w:rsidRPr="00A8215D">
              <w:rPr>
                <w:sz w:val="16"/>
                <w:szCs w:val="16"/>
              </w:rPr>
              <w:t>74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4E2F" w14:textId="10DB1ED9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68</w:t>
            </w:r>
          </w:p>
        </w:tc>
      </w:tr>
      <w:tr w:rsidR="0078505E" w:rsidRPr="001F4259" w14:paraId="22ADA1E1" w14:textId="225E270F" w:rsidTr="0056641F">
        <w:tc>
          <w:tcPr>
            <w:tcW w:w="5305" w:type="dxa"/>
          </w:tcPr>
          <w:p w14:paraId="7F153D7E" w14:textId="77777777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2-Regular public school district that is a component of a supervisory union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C03D6" w14:textId="7EC4F686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415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FB04" w14:textId="5A3D678E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1C362" w14:textId="12DD3E6A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350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1132" w14:textId="1D537705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2AE0" w14:textId="61586C67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349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B754" w14:textId="719E23AC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64D4" w14:textId="48DB9A8D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9E69" w14:textId="3FC6CDF4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6050" w14:textId="0420CDBA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17</w:t>
            </w:r>
            <w:r w:rsidR="00392211" w:rsidRPr="00A8215D"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6F4" w14:textId="33FCE2C9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</w:p>
        </w:tc>
      </w:tr>
      <w:tr w:rsidR="0078505E" w:rsidRPr="001F4259" w14:paraId="05F9CD6B" w14:textId="4301F393" w:rsidTr="0056641F">
        <w:tc>
          <w:tcPr>
            <w:tcW w:w="5305" w:type="dxa"/>
          </w:tcPr>
          <w:p w14:paraId="7A27FFAA" w14:textId="7946AF83" w:rsidR="0078505E" w:rsidRPr="001F4259" w:rsidRDefault="0078505E" w:rsidP="0078505E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3-Supervisory union 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DCDE8" w14:textId="1F02030E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217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12309" w14:textId="344AF4D6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277B" w14:textId="1798EA31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EDD82" w14:textId="6BF5D86C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0CD2" w14:textId="31EED660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218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AC07" w14:textId="2FC143F1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353C" w14:textId="67742A26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C152" w14:textId="08A077BE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3CAB" w14:textId="7CA269A4" w:rsidR="0078505E" w:rsidRPr="00A8215D" w:rsidRDefault="00392211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2C70" w14:textId="3D61D6ED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</w:p>
        </w:tc>
      </w:tr>
      <w:tr w:rsidR="0078505E" w:rsidRPr="001F4259" w14:paraId="14479743" w14:textId="7EB79CF3" w:rsidTr="0056641F">
        <w:tc>
          <w:tcPr>
            <w:tcW w:w="5305" w:type="dxa"/>
          </w:tcPr>
          <w:p w14:paraId="5B4A2409" w14:textId="77777777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4-Service agency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5BD5" w14:textId="1AD1BE0E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771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B773" w14:textId="4F9B837F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073D5" w14:textId="3F375DE8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742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34CA0" w14:textId="71072C89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0416" w14:textId="4D5CC6A7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702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B4A8" w14:textId="0F1F2C45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B9AD" w14:textId="160B877F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C240" w14:textId="38CBA830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3C50" w14:textId="31DFA5CD" w:rsidR="0078505E" w:rsidRPr="00A8215D" w:rsidRDefault="00392211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698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156E" w14:textId="39DA7346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4</w:t>
            </w:r>
          </w:p>
        </w:tc>
      </w:tr>
      <w:tr w:rsidR="0078505E" w:rsidRPr="001F4259" w14:paraId="1980E8A6" w14:textId="41FC003E" w:rsidTr="0056641F">
        <w:tc>
          <w:tcPr>
            <w:tcW w:w="5305" w:type="dxa"/>
          </w:tcPr>
          <w:p w14:paraId="1982A0B0" w14:textId="01AEC3BE" w:rsidR="0078505E" w:rsidRPr="001F4259" w:rsidRDefault="0078505E" w:rsidP="0078505E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5-State</w:t>
            </w:r>
            <w:r w:rsidR="00F026CF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operated</w:t>
            </w: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agency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12720" w14:textId="33D9B485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236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F45" w14:textId="0F4FCE47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296A" w14:textId="0A8B5524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3AD6" w14:textId="31010789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DDB2" w14:textId="5C3455EB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226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D3FF" w14:textId="1019DC9B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C83D" w14:textId="2A87980F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CFAE" w14:textId="109D07BC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4336" w14:textId="74F5022B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  <w:r w:rsidR="00392211" w:rsidRPr="00A8215D">
              <w:rPr>
                <w:sz w:val="16"/>
                <w:szCs w:val="16"/>
              </w:rP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17D9" w14:textId="023C736F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</w:p>
        </w:tc>
      </w:tr>
      <w:tr w:rsidR="0078505E" w:rsidRPr="001F4259" w14:paraId="483ACA25" w14:textId="1479CB0F" w:rsidTr="0056641F">
        <w:tc>
          <w:tcPr>
            <w:tcW w:w="5305" w:type="dxa"/>
          </w:tcPr>
          <w:p w14:paraId="0169DD35" w14:textId="7B2E4D15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6-Federal</w:t>
            </w:r>
            <w:r w:rsidR="00F026CF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operated</w:t>
            </w: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agency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8770E" w14:textId="406A135F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C4E2E" w14:textId="0AF526D1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E2A53" w14:textId="75BF984F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C332" w14:textId="70F30D6C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EC16" w14:textId="19E99BFD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9F6" w14:textId="779A619F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2A13" w14:textId="2E3396DD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2BB3" w14:textId="10E81CED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C598" w14:textId="07D85B0B" w:rsidR="0078505E" w:rsidRPr="00A8215D" w:rsidRDefault="00392211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AF3B" w14:textId="06F19538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78505E" w:rsidRPr="001F4259" w14:paraId="1C16DFDA" w14:textId="1AA2276E" w:rsidTr="0056641F">
        <w:tc>
          <w:tcPr>
            <w:tcW w:w="5305" w:type="dxa"/>
          </w:tcPr>
          <w:p w14:paraId="1269BEBE" w14:textId="77777777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7-Independent charter district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736F4" w14:textId="2A421582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4,295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3F393" w14:textId="61EFDCF4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663A6" w14:textId="735D1E05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4,258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AAF77" w14:textId="2F9256C5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74BD" w14:textId="50381960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4,293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5239" w14:textId="0EC2F0A5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CB77" w14:textId="17F105BF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4,341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12F0" w14:textId="1239933F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2A92" w14:textId="43E41D56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4,3</w:t>
            </w:r>
            <w:r w:rsidR="00392211" w:rsidRPr="00A8215D">
              <w:rPr>
                <w:sz w:val="16"/>
                <w:szCs w:val="16"/>
              </w:rPr>
              <w:t>72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54E4" w14:textId="3443E08D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22</w:t>
            </w:r>
          </w:p>
        </w:tc>
      </w:tr>
      <w:tr w:rsidR="0078505E" w:rsidRPr="001F4259" w14:paraId="09D71FFA" w14:textId="01F895EF" w:rsidTr="0056641F">
        <w:tc>
          <w:tcPr>
            <w:tcW w:w="5305" w:type="dxa"/>
          </w:tcPr>
          <w:p w14:paraId="34967AA0" w14:textId="6E7BE111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8-Other </w:t>
            </w:r>
            <w:r w:rsidR="00F026CF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local </w:t>
            </w: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education agency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99CF3" w14:textId="3A55D3A8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210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7156E" w14:textId="3054A07E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704F2" w14:textId="756125D6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253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D2EED" w14:textId="27C72E6C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E0AF" w14:textId="5E6AAC26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252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7E5B" w14:textId="6CE44133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4861" w14:textId="0209ADB8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6881" w14:textId="44EBF8E7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07D9" w14:textId="20E71AB3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24</w:t>
            </w:r>
            <w:r w:rsidR="00392211" w:rsidRPr="00A8215D">
              <w:rPr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A2E7" w14:textId="58B4DCBE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</w:p>
        </w:tc>
      </w:tr>
      <w:tr w:rsidR="0078505E" w:rsidRPr="001F4259" w14:paraId="237FF4DF" w14:textId="6C2250C8" w:rsidTr="0078505E">
        <w:trPr>
          <w:trHeight w:val="70"/>
        </w:trPr>
        <w:tc>
          <w:tcPr>
            <w:tcW w:w="5305" w:type="dxa"/>
          </w:tcPr>
          <w:p w14:paraId="1CF2656E" w14:textId="77777777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9-Specialized public school district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C17D9" w14:textId="6241D937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422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CB0F" w14:textId="41389725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DDDA" w14:textId="5243551A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394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1570D" w14:textId="2676078D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E79" w14:textId="0FB0EECD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63C2A">
              <w:rPr>
                <w:sz w:val="16"/>
                <w:szCs w:val="16"/>
              </w:rPr>
              <w:t>444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C999" w14:textId="6DE1CB50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990" w14:textId="128500A2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5FF4" w14:textId="2F33E426" w:rsidR="0078505E" w:rsidRPr="001F4259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C4EA" w14:textId="6EE9B0C6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4</w:t>
            </w:r>
            <w:r w:rsidR="00392211" w:rsidRPr="00A8215D">
              <w:rPr>
                <w:sz w:val="16"/>
                <w:szCs w:val="16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09D4" w14:textId="50120B15" w:rsidR="0078505E" w:rsidRPr="00A8215D" w:rsidRDefault="0078505E" w:rsidP="0078505E">
            <w:pPr>
              <w:tabs>
                <w:tab w:val="decimal" w:pos="886"/>
              </w:tabs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2</w:t>
            </w:r>
          </w:p>
        </w:tc>
      </w:tr>
      <w:tr w:rsidR="0078505E" w:rsidRPr="001F4259" w14:paraId="6D27F53E" w14:textId="46C00FEA" w:rsidTr="0056641F">
        <w:tc>
          <w:tcPr>
            <w:tcW w:w="5305" w:type="dxa"/>
            <w:shd w:val="clear" w:color="auto" w:fill="DEEAF6" w:themeFill="accent5" w:themeFillTint="33"/>
          </w:tcPr>
          <w:p w14:paraId="7EE1C15C" w14:textId="77777777" w:rsidR="0078505E" w:rsidRPr="001F4259" w:rsidRDefault="0078505E" w:rsidP="0078505E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90" w:type="dxa"/>
            <w:shd w:val="clear" w:color="auto" w:fill="DEEAF6" w:themeFill="accent5" w:themeFillTint="33"/>
          </w:tcPr>
          <w:p w14:paraId="5371478E" w14:textId="28549FA1" w:rsidR="0078505E" w:rsidRPr="001F4259" w:rsidRDefault="0078505E" w:rsidP="0078505E">
            <w:pPr>
              <w:tabs>
                <w:tab w:val="decimal" w:pos="910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19,828</w:t>
            </w:r>
          </w:p>
        </w:tc>
        <w:tc>
          <w:tcPr>
            <w:tcW w:w="518" w:type="dxa"/>
            <w:shd w:val="clear" w:color="auto" w:fill="DEEAF6" w:themeFill="accent5" w:themeFillTint="33"/>
          </w:tcPr>
          <w:p w14:paraId="3BD2EB00" w14:textId="37C324D9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0" w:type="dxa"/>
            <w:shd w:val="clear" w:color="auto" w:fill="DEEAF6" w:themeFill="accent5" w:themeFillTint="33"/>
          </w:tcPr>
          <w:p w14:paraId="240D73E1" w14:textId="6872EF6B" w:rsidR="0078505E" w:rsidRPr="001F4259" w:rsidRDefault="0078505E" w:rsidP="0078505E">
            <w:pPr>
              <w:tabs>
                <w:tab w:val="decimal" w:pos="886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19,690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14:paraId="6CCF50B1" w14:textId="6F4131FD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0" w:type="dxa"/>
            <w:shd w:val="clear" w:color="auto" w:fill="DEEAF6" w:themeFill="accent5" w:themeFillTint="33"/>
          </w:tcPr>
          <w:p w14:paraId="16184A22" w14:textId="1449F510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19,713</w:t>
            </w:r>
          </w:p>
        </w:tc>
        <w:tc>
          <w:tcPr>
            <w:tcW w:w="518" w:type="dxa"/>
            <w:shd w:val="clear" w:color="auto" w:fill="DEEAF6" w:themeFill="accent5" w:themeFillTint="33"/>
          </w:tcPr>
          <w:p w14:paraId="3CE0AF54" w14:textId="01D1A853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0" w:type="dxa"/>
            <w:shd w:val="clear" w:color="auto" w:fill="DEEAF6" w:themeFill="accent5" w:themeFillTint="33"/>
          </w:tcPr>
          <w:p w14:paraId="2F4CC638" w14:textId="3C379B82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19,710</w:t>
            </w:r>
          </w:p>
        </w:tc>
        <w:tc>
          <w:tcPr>
            <w:tcW w:w="584" w:type="dxa"/>
            <w:shd w:val="clear" w:color="auto" w:fill="DEEAF6" w:themeFill="accent5" w:themeFillTint="33"/>
          </w:tcPr>
          <w:p w14:paraId="5B771918" w14:textId="3D8F45D2" w:rsidR="0078505E" w:rsidRPr="001F4259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0" w:type="dxa"/>
            <w:shd w:val="clear" w:color="auto" w:fill="DEEAF6" w:themeFill="accent5" w:themeFillTint="33"/>
          </w:tcPr>
          <w:p w14:paraId="136A5FDF" w14:textId="7FA896C4" w:rsidR="0078505E" w:rsidRPr="00A8215D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19,</w:t>
            </w:r>
            <w:r w:rsidR="00392211"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627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14:paraId="512F4E43" w14:textId="5C954710" w:rsidR="0078505E" w:rsidRPr="00A8215D" w:rsidRDefault="0078505E" w:rsidP="0078505E">
            <w:pPr>
              <w:tabs>
                <w:tab w:val="decimal" w:pos="886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</w:tr>
    </w:tbl>
    <w:p w14:paraId="3B734101" w14:textId="209B718A" w:rsidR="0004349E" w:rsidRPr="009B11FA" w:rsidRDefault="0004349E" w:rsidP="00C0290E">
      <w:pPr>
        <w:spacing w:after="0" w:line="240" w:lineRule="auto"/>
        <w:rPr>
          <w:rFonts w:ascii="Calibri" w:eastAsia="Times New Roman" w:hAnsi="Calibri" w:cs="Times New Roman"/>
          <w:bCs/>
          <w:sz w:val="16"/>
          <w:szCs w:val="16"/>
        </w:rPr>
      </w:pPr>
      <w:r w:rsidRPr="009B11FA">
        <w:rPr>
          <w:rFonts w:ascii="Calibri" w:eastAsia="Times New Roman" w:hAnsi="Calibri" w:cs="Times New Roman"/>
          <w:bCs/>
          <w:sz w:val="16"/>
          <w:szCs w:val="16"/>
        </w:rPr>
        <w:t># Rounds to zero.</w:t>
      </w:r>
    </w:p>
    <w:p w14:paraId="65672B91" w14:textId="1D6E8371" w:rsidR="0004349E" w:rsidRPr="009B11FA" w:rsidRDefault="000819E6" w:rsidP="00D34734">
      <w:pPr>
        <w:spacing w:after="0" w:line="240" w:lineRule="auto"/>
        <w:ind w:right="2880"/>
        <w:rPr>
          <w:rFonts w:ascii="Calibri" w:eastAsia="Times New Roman" w:hAnsi="Calibri" w:cs="Times New Roman"/>
          <w:bCs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sz w:val="16"/>
          <w:szCs w:val="16"/>
        </w:rPr>
        <w:t>NOTE</w:t>
      </w:r>
      <w:r w:rsidR="0004349E" w:rsidRPr="009B11FA">
        <w:rPr>
          <w:rFonts w:ascii="Calibri" w:eastAsia="Times New Roman" w:hAnsi="Calibri" w:cs="Times New Roman"/>
          <w:bCs/>
          <w:sz w:val="16"/>
          <w:szCs w:val="16"/>
        </w:rPr>
        <w:t>: Detail may not sum to totals due to rounding.</w:t>
      </w:r>
    </w:p>
    <w:p w14:paraId="74C0CB74" w14:textId="4CCD9668" w:rsidR="0078505E" w:rsidRPr="009B11FA" w:rsidRDefault="0004349E" w:rsidP="00D34734">
      <w:pPr>
        <w:spacing w:after="0" w:line="240" w:lineRule="auto"/>
        <w:rPr>
          <w:rFonts w:ascii="Calibri" w:eastAsia="Times New Roman" w:hAnsi="Calibri" w:cs="Times New Roman"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bCs/>
          <w:sz w:val="16"/>
          <w:szCs w:val="16"/>
        </w:rPr>
        <w:t>SOURCE: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 U.S. Department of Education, National Center for Education Statistics, Common Core of Data (CCD), "Public Elementary/Secondary Local Education Agency (LEA) Universe Survey</w:t>
      </w:r>
      <w:r w:rsidR="009F7FD2" w:rsidRPr="009B11FA">
        <w:rPr>
          <w:rFonts w:ascii="Calibri" w:eastAsia="Times New Roman" w:hAnsi="Calibri" w:cs="Times New Roman"/>
          <w:sz w:val="16"/>
          <w:szCs w:val="16"/>
        </w:rPr>
        <w:t>,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" </w:t>
      </w:r>
      <w:r w:rsidR="009B11FA" w:rsidRPr="009B11FA">
        <w:rPr>
          <w:rFonts w:ascii="Calibri" w:eastAsia="Times New Roman" w:hAnsi="Calibri" w:cs="Times New Roman"/>
          <w:sz w:val="16"/>
          <w:szCs w:val="16"/>
        </w:rPr>
        <w:t xml:space="preserve">2019–20 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through 2022–23 Version 1a, 2023–24 Preliminary 0a.</w:t>
      </w:r>
    </w:p>
    <w:p w14:paraId="2848B88C" w14:textId="77777777" w:rsidR="0078505E" w:rsidRDefault="0078505E">
      <w:pPr>
        <w:rPr>
          <w:rFonts w:ascii="Calibri" w:eastAsia="Times New Roman" w:hAnsi="Calibri" w:cs="Times New Roman"/>
          <w:sz w:val="16"/>
          <w:szCs w:val="16"/>
        </w:rPr>
      </w:pPr>
      <w:r>
        <w:rPr>
          <w:rFonts w:ascii="Calibri" w:eastAsia="Times New Roman" w:hAnsi="Calibri" w:cs="Times New Roman"/>
          <w:sz w:val="16"/>
          <w:szCs w:val="16"/>
        </w:rPr>
        <w:br w:type="page"/>
      </w:r>
    </w:p>
    <w:p w14:paraId="1C150C23" w14:textId="77777777" w:rsidR="00E63ED5" w:rsidRPr="001F4259" w:rsidRDefault="00E63ED5" w:rsidP="00D34734">
      <w:pPr>
        <w:spacing w:after="0" w:line="240" w:lineRule="auto"/>
        <w:rPr>
          <w:rFonts w:eastAsia="Times New Roman"/>
        </w:rPr>
      </w:pPr>
    </w:p>
    <w:p w14:paraId="5F0B834F" w14:textId="2622BE7D" w:rsidR="00E63ED5" w:rsidRPr="001F4259" w:rsidRDefault="00E63ED5" w:rsidP="002A2D33">
      <w:pPr>
        <w:pStyle w:val="Heading3"/>
        <w:spacing w:after="120"/>
        <w:rPr>
          <w:rFonts w:eastAsia="Times New Roman"/>
        </w:rPr>
      </w:pPr>
      <w:r w:rsidRPr="001F4259">
        <w:rPr>
          <w:rFonts w:eastAsia="Times New Roman"/>
        </w:rPr>
        <w:t xml:space="preserve">Table </w:t>
      </w:r>
      <w:r w:rsidR="00EB5AAC" w:rsidRPr="001F4259">
        <w:rPr>
          <w:rFonts w:eastAsia="Times New Roman"/>
        </w:rPr>
        <w:t>1</w:t>
      </w:r>
      <w:r w:rsidRPr="001F4259">
        <w:rPr>
          <w:rFonts w:eastAsia="Times New Roman"/>
        </w:rPr>
        <w:t xml:space="preserve">.3: </w:t>
      </w:r>
      <w:r w:rsidR="000D1483" w:rsidRPr="001F4259">
        <w:rPr>
          <w:rFonts w:eastAsia="Times New Roman"/>
        </w:rPr>
        <w:t>Start of year Status (</w:t>
      </w:r>
      <w:r w:rsidRPr="001F4259">
        <w:rPr>
          <w:rFonts w:eastAsia="Times New Roman"/>
        </w:rPr>
        <w:t>SY_STATUS</w:t>
      </w:r>
      <w:r w:rsidR="000D1483" w:rsidRPr="001F4259">
        <w:rPr>
          <w:rFonts w:eastAsia="Times New Roman"/>
        </w:rPr>
        <w:t>)</w:t>
      </w:r>
      <w:r w:rsidRPr="001F4259">
        <w:rPr>
          <w:rFonts w:eastAsia="Times New Roman"/>
        </w:rPr>
        <w:t xml:space="preserve"> frequency table for all records in the </w:t>
      </w:r>
      <w:r w:rsidR="002B2B09" w:rsidRPr="001F4259">
        <w:rPr>
          <w:rFonts w:eastAsia="Times New Roman"/>
        </w:rPr>
        <w:t xml:space="preserve">school </w:t>
      </w:r>
      <w:r w:rsidRPr="001F4259">
        <w:rPr>
          <w:rFonts w:eastAsia="Times New Roman"/>
        </w:rPr>
        <w:t xml:space="preserve">data file: </w:t>
      </w:r>
      <w:r w:rsidR="0078505E" w:rsidRPr="001F4259">
        <w:rPr>
          <w:rFonts w:eastAsia="Times New Roman"/>
        </w:rPr>
        <w:t>School years 201</w:t>
      </w:r>
      <w:r w:rsidR="0078505E">
        <w:rPr>
          <w:rFonts w:eastAsia="Times New Roman"/>
        </w:rPr>
        <w:t>9</w:t>
      </w:r>
      <w:r w:rsidR="0078505E" w:rsidRPr="001F4259">
        <w:rPr>
          <w:rFonts w:eastAsia="Times New Roman"/>
        </w:rPr>
        <w:t>–</w:t>
      </w:r>
      <w:r w:rsidR="0078505E">
        <w:rPr>
          <w:rFonts w:eastAsia="Times New Roman"/>
        </w:rPr>
        <w:t xml:space="preserve">20 </w:t>
      </w:r>
      <w:r w:rsidR="0078505E" w:rsidRPr="001F4259">
        <w:rPr>
          <w:rFonts w:eastAsia="Times New Roman"/>
        </w:rPr>
        <w:t xml:space="preserve">through </w:t>
      </w:r>
      <w:r w:rsidR="0078505E" w:rsidRPr="001F4259">
        <w:t>202</w:t>
      </w:r>
      <w:r w:rsidR="0078505E">
        <w:t>3</w:t>
      </w:r>
      <w:r w:rsidR="0078505E" w:rsidRPr="001F4259">
        <w:rPr>
          <w:rFonts w:eastAsia="Times New Roman"/>
        </w:rPr>
        <w:t>–</w:t>
      </w:r>
      <w:r w:rsidR="0078505E" w:rsidRPr="001F4259">
        <w:t>2</w:t>
      </w:r>
      <w:r w:rsidR="0078505E">
        <w:t>4</w:t>
      </w:r>
    </w:p>
    <w:tbl>
      <w:tblPr>
        <w:tblStyle w:val="TableGrid2"/>
        <w:tblW w:w="4689" w:type="pct"/>
        <w:tblLayout w:type="fixed"/>
        <w:tblLook w:val="04A0" w:firstRow="1" w:lastRow="0" w:firstColumn="1" w:lastColumn="0" w:noHBand="0" w:noVBand="1"/>
      </w:tblPr>
      <w:tblGrid>
        <w:gridCol w:w="2581"/>
        <w:gridCol w:w="1299"/>
        <w:gridCol w:w="645"/>
        <w:gridCol w:w="1300"/>
        <w:gridCol w:w="651"/>
        <w:gridCol w:w="1300"/>
        <w:gridCol w:w="649"/>
        <w:gridCol w:w="1300"/>
        <w:gridCol w:w="649"/>
        <w:gridCol w:w="1232"/>
        <w:gridCol w:w="539"/>
      </w:tblGrid>
      <w:tr w:rsidR="0078505E" w:rsidRPr="001F4259" w14:paraId="2DBBE68C" w14:textId="0BFDDF33" w:rsidTr="00231015">
        <w:tc>
          <w:tcPr>
            <w:tcW w:w="1063" w:type="pct"/>
            <w:shd w:val="clear" w:color="auto" w:fill="DEEAF6" w:themeFill="accent5" w:themeFillTint="33"/>
          </w:tcPr>
          <w:p w14:paraId="624E0117" w14:textId="10D68A97" w:rsidR="0078505E" w:rsidRPr="001F4259" w:rsidRDefault="0078505E" w:rsidP="0078505E">
            <w:pPr>
              <w:rPr>
                <w:rFonts w:eastAsia="Times New Roman" w:cs="Times New Roman"/>
                <w:b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sz w:val="16"/>
                <w:szCs w:val="16"/>
              </w:rPr>
              <w:t xml:space="preserve">Start of year Status (SY_STATUS) </w:t>
            </w:r>
          </w:p>
        </w:tc>
        <w:tc>
          <w:tcPr>
            <w:tcW w:w="535" w:type="pct"/>
            <w:shd w:val="clear" w:color="auto" w:fill="DEEAF6" w:themeFill="accent5" w:themeFillTint="33"/>
            <w:vAlign w:val="bottom"/>
          </w:tcPr>
          <w:p w14:paraId="03F2B70B" w14:textId="1FE8992C" w:rsidR="0078505E" w:rsidRPr="001F4259" w:rsidRDefault="0078505E" w:rsidP="0078505E">
            <w:pPr>
              <w:tabs>
                <w:tab w:val="decimal" w:pos="841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2019–20</w:t>
            </w:r>
          </w:p>
        </w:tc>
        <w:tc>
          <w:tcPr>
            <w:tcW w:w="266" w:type="pct"/>
            <w:shd w:val="clear" w:color="auto" w:fill="DEEAF6" w:themeFill="accent5" w:themeFillTint="33"/>
            <w:vAlign w:val="bottom"/>
          </w:tcPr>
          <w:p w14:paraId="1164CA49" w14:textId="40B4888B" w:rsidR="0078505E" w:rsidRPr="001F4259" w:rsidRDefault="0078505E" w:rsidP="0078505E">
            <w:pPr>
              <w:tabs>
                <w:tab w:val="decimal" w:pos="631"/>
              </w:tabs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shd w:val="clear" w:color="auto" w:fill="DEEAF6" w:themeFill="accent5" w:themeFillTint="33"/>
            <w:vAlign w:val="bottom"/>
          </w:tcPr>
          <w:p w14:paraId="0D4FA2BE" w14:textId="014B75B5" w:rsidR="0078505E" w:rsidRPr="001F4259" w:rsidRDefault="0078505E" w:rsidP="0078505E">
            <w:pPr>
              <w:tabs>
                <w:tab w:val="decimal" w:pos="841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2020–21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DEEAF6" w:themeFill="accent5" w:themeFillTint="33"/>
            <w:vAlign w:val="bottom"/>
          </w:tcPr>
          <w:p w14:paraId="6F8DE534" w14:textId="65D594BC" w:rsidR="0078505E" w:rsidRPr="001F4259" w:rsidRDefault="0078505E" w:rsidP="0078505E">
            <w:pPr>
              <w:tabs>
                <w:tab w:val="decimal" w:pos="841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8957EF1" w14:textId="226A4901" w:rsidR="0078505E" w:rsidRPr="001F4259" w:rsidRDefault="0078505E" w:rsidP="0078505E">
            <w:pPr>
              <w:tabs>
                <w:tab w:val="decimal" w:pos="841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2021-22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A33CB1A" w14:textId="4EECC72B" w:rsidR="0078505E" w:rsidRPr="001F4259" w:rsidRDefault="0078505E" w:rsidP="0078505E">
            <w:pPr>
              <w:tabs>
                <w:tab w:val="decimal" w:pos="841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35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512DB5A" w14:textId="0F916D79" w:rsidR="0078505E" w:rsidRPr="001F4259" w:rsidRDefault="0078505E" w:rsidP="0078505E">
            <w:pPr>
              <w:tabs>
                <w:tab w:val="decimal" w:pos="841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SY 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2022–23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FC0E62B" w14:textId="71827669" w:rsidR="0078505E" w:rsidRPr="001F4259" w:rsidRDefault="0078505E" w:rsidP="0078505E">
            <w:pPr>
              <w:tabs>
                <w:tab w:val="decimal" w:pos="841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07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6B31B94" w14:textId="2B57E84B" w:rsidR="0078505E" w:rsidRPr="001F4259" w:rsidRDefault="0078505E" w:rsidP="0078505E">
            <w:pPr>
              <w:tabs>
                <w:tab w:val="decimal" w:pos="841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2023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–2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5685CCE" w14:textId="1627B128" w:rsidR="0078505E" w:rsidRPr="001F4259" w:rsidRDefault="0078505E" w:rsidP="0078505E">
            <w:pPr>
              <w:tabs>
                <w:tab w:val="decimal" w:pos="841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</w:tr>
      <w:tr w:rsidR="003E3028" w:rsidRPr="001F4259" w14:paraId="5CC6CC8E" w14:textId="2FBD03EF" w:rsidTr="009320A9">
        <w:trPr>
          <w:trHeight w:val="233"/>
        </w:trPr>
        <w:tc>
          <w:tcPr>
            <w:tcW w:w="1063" w:type="pct"/>
          </w:tcPr>
          <w:p w14:paraId="1C884FD2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1-Open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73C0" w14:textId="2EFA0861" w:rsidR="003E3028" w:rsidRPr="001F4259" w:rsidRDefault="003E3028" w:rsidP="003E302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98,411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44E62" w14:textId="74C808A3" w:rsidR="003E3028" w:rsidRPr="001F4259" w:rsidRDefault="003E3028" w:rsidP="003E302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97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A140B" w14:textId="5A027C69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98,717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9773C" w14:textId="3B3D0F2C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97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1DDE" w14:textId="1B512C79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99,010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8E75" w14:textId="417ECEF2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97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92C5" w14:textId="0559493E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99,524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811A" w14:textId="4B5B818F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DDDC1" w14:textId="0162541A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99,594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CAB0A" w14:textId="4318E339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97</w:t>
            </w:r>
          </w:p>
        </w:tc>
      </w:tr>
      <w:tr w:rsidR="003E3028" w:rsidRPr="001F4259" w14:paraId="51700843" w14:textId="754A4F7C" w:rsidTr="009320A9">
        <w:tc>
          <w:tcPr>
            <w:tcW w:w="1063" w:type="pct"/>
          </w:tcPr>
          <w:p w14:paraId="51A24DFC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2-Closed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F9D3" w14:textId="05B405C2" w:rsidR="003E3028" w:rsidRPr="001F4259" w:rsidRDefault="003E3028" w:rsidP="003E302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1,233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7E2EE" w14:textId="47409BDC" w:rsidR="003E3028" w:rsidRPr="001F4259" w:rsidRDefault="003E3028" w:rsidP="003E302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147C2" w14:textId="103D132E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940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EE3BB" w14:textId="5ECE39D2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0CAB" w14:textId="49D7FACD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852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C433" w14:textId="653CC88D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1461" w14:textId="1AC777E9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2B05" w14:textId="230F207B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7A9F9" w14:textId="75BFD2CE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1,03</w:t>
            </w:r>
            <w:r w:rsidR="006A680B" w:rsidRPr="00A8215D">
              <w:rPr>
                <w:sz w:val="16"/>
                <w:szCs w:val="16"/>
              </w:rPr>
              <w:t>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8325F" w14:textId="091ACD2D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</w:p>
        </w:tc>
      </w:tr>
      <w:tr w:rsidR="003E3028" w:rsidRPr="001F4259" w14:paraId="3E351A6A" w14:textId="0711424D" w:rsidTr="009320A9">
        <w:tc>
          <w:tcPr>
            <w:tcW w:w="1063" w:type="pct"/>
          </w:tcPr>
          <w:p w14:paraId="51F9C655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3-New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03085" w14:textId="2B18B514" w:rsidR="003E3028" w:rsidRPr="001F4259" w:rsidRDefault="003E3028" w:rsidP="003E302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1,004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1EE8" w14:textId="669D2BAC" w:rsidR="003E3028" w:rsidRPr="001F4259" w:rsidRDefault="003E3028" w:rsidP="003E302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F175C" w14:textId="655D09EC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902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F700E" w14:textId="24367A66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9415" w14:textId="4BA4E562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1,168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C0EC" w14:textId="08F17C39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E4DE" w14:textId="6CDAAB16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887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A45A" w14:textId="5643056A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4D880" w14:textId="3CCC57BD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76</w:t>
            </w:r>
            <w:r w:rsidR="006A680B" w:rsidRPr="00A8215D">
              <w:rPr>
                <w:sz w:val="16"/>
                <w:szCs w:val="16"/>
              </w:rPr>
              <w:t>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94B01" w14:textId="0C23C06F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1</w:t>
            </w:r>
          </w:p>
        </w:tc>
      </w:tr>
      <w:tr w:rsidR="003E3028" w:rsidRPr="001F4259" w14:paraId="28B8E830" w14:textId="172F46B3" w:rsidTr="009320A9">
        <w:tc>
          <w:tcPr>
            <w:tcW w:w="1063" w:type="pct"/>
          </w:tcPr>
          <w:p w14:paraId="16431985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4-Added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EC721" w14:textId="27F64A30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55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A000C" w14:textId="53CD47F1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8137F" w14:textId="14049E0B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73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8114A" w14:textId="16F0472B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8024" w14:textId="2BD47B61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188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DFBC" w14:textId="1204FEB1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9939" w14:textId="22EA201D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F4E" w14:textId="1D2BCD3C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5A0E5" w14:textId="7E4893DD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29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7F2A2" w14:textId="39D7352D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3E3028" w:rsidRPr="001F4259" w14:paraId="7E813C79" w14:textId="2AE3EDC5" w:rsidTr="009320A9">
        <w:tc>
          <w:tcPr>
            <w:tcW w:w="1063" w:type="pct"/>
          </w:tcPr>
          <w:p w14:paraId="58B04FAE" w14:textId="3C9FC3CE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5-Changed Boundary/Agency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93E91" w14:textId="5F653E46" w:rsidR="003E3028" w:rsidRPr="001F4259" w:rsidRDefault="003E3028" w:rsidP="003E3028">
            <w:pPr>
              <w:ind w:right="-36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137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101A" w14:textId="552EDEA7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2E44D" w14:textId="3808360B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B6FAD" w14:textId="6B00CCEE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BEF45" w14:textId="7EE56C32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E929" w14:textId="14B9877B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EA96" w14:textId="0BB5F037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868F" w14:textId="248E9464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6BAD7" w14:textId="3C22FD5D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3</w:t>
            </w:r>
            <w:r w:rsidR="006A680B" w:rsidRPr="00A8215D">
              <w:rPr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56BE5" w14:textId="3674A7C0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3E3028" w:rsidRPr="001F4259" w14:paraId="1477B839" w14:textId="07A8F50E" w:rsidTr="009320A9">
        <w:tc>
          <w:tcPr>
            <w:tcW w:w="1063" w:type="pct"/>
          </w:tcPr>
          <w:p w14:paraId="3EF9E4F2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6-Inactive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F53B7" w14:textId="73F1916D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459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53FF" w14:textId="5ED02827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6143A" w14:textId="300FBB52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521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1F8E3" w14:textId="09E4DE90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48060" w14:textId="6EFD0ACE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483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A530" w14:textId="6871EB04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A952" w14:textId="612AFFD4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1947" w14:textId="64B6B666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DA2A1" w14:textId="207C3781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449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DCAC9" w14:textId="24E195A1" w:rsidR="003E3028" w:rsidRPr="00A8215D" w:rsidRDefault="001B6ED4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3E3028" w:rsidRPr="001F4259" w14:paraId="3F141616" w14:textId="2CE983C5" w:rsidTr="009320A9">
        <w:tc>
          <w:tcPr>
            <w:tcW w:w="1063" w:type="pct"/>
          </w:tcPr>
          <w:p w14:paraId="4FE320F9" w14:textId="0CFE1A75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7-Future 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1D36" w14:textId="68036C49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372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89AB" w14:textId="43EC9DA4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C21F2" w14:textId="2CF87F87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438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A62A" w14:textId="63D338BD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D73D" w14:textId="32300D1E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370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FDCD" w14:textId="153E6F57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2854" w14:textId="5BF14CFD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293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84FB" w14:textId="13392B17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19EF0" w14:textId="3E9DE3F3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284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0F50F" w14:textId="1F6A1B33" w:rsidR="003E3028" w:rsidRPr="00A8215D" w:rsidRDefault="001B6ED4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3E3028" w:rsidRPr="001F4259" w14:paraId="03498BB3" w14:textId="297607C8" w:rsidTr="009320A9">
        <w:tc>
          <w:tcPr>
            <w:tcW w:w="1063" w:type="pct"/>
          </w:tcPr>
          <w:p w14:paraId="00A01201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8-Reopened</w:t>
            </w:r>
          </w:p>
        </w:tc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0B8C" w14:textId="3B06C490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17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A10C" w14:textId="26204184" w:rsidR="003E3028" w:rsidRPr="001F4259" w:rsidRDefault="003E3028" w:rsidP="003E3028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038F" w14:textId="06CC8204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31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A747D" w14:textId="38BC6B6D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1F4259">
              <w:rPr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54D3" w14:textId="45FCAC39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1AD6" w14:textId="6E890A46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 w:rsidRPr="00E95335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D65C" w14:textId="5975EFC6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B4E9" w14:textId="68FBF405" w:rsidR="003E3028" w:rsidRPr="001F4259" w:rsidRDefault="003E3028" w:rsidP="003E302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993D7" w14:textId="56DA59AC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35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55A80" w14:textId="040594CA" w:rsidR="003E3028" w:rsidRPr="00A8215D" w:rsidRDefault="003E3028" w:rsidP="003E3028">
            <w:pPr>
              <w:jc w:val="right"/>
              <w:rPr>
                <w:sz w:val="16"/>
                <w:szCs w:val="16"/>
              </w:rPr>
            </w:pPr>
            <w:r w:rsidRPr="00A8215D">
              <w:rPr>
                <w:sz w:val="16"/>
                <w:szCs w:val="16"/>
              </w:rPr>
              <w:t>#</w:t>
            </w:r>
          </w:p>
        </w:tc>
      </w:tr>
      <w:tr w:rsidR="0078505E" w:rsidRPr="001F4259" w14:paraId="31E49B4E" w14:textId="3E3DA7FB" w:rsidTr="00231015">
        <w:tc>
          <w:tcPr>
            <w:tcW w:w="1063" w:type="pct"/>
            <w:shd w:val="clear" w:color="auto" w:fill="DEEAF6" w:themeFill="accent5" w:themeFillTint="33"/>
          </w:tcPr>
          <w:p w14:paraId="3780FC83" w14:textId="77777777" w:rsidR="0078505E" w:rsidRPr="001F4259" w:rsidRDefault="0078505E" w:rsidP="0078505E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35" w:type="pct"/>
            <w:shd w:val="clear" w:color="auto" w:fill="DEEAF6" w:themeFill="accent5" w:themeFillTint="33"/>
          </w:tcPr>
          <w:p w14:paraId="4EF24D54" w14:textId="764C47F1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101,688</w:t>
            </w:r>
          </w:p>
        </w:tc>
        <w:tc>
          <w:tcPr>
            <w:tcW w:w="266" w:type="pct"/>
            <w:shd w:val="clear" w:color="auto" w:fill="DEEAF6" w:themeFill="accent5" w:themeFillTint="33"/>
          </w:tcPr>
          <w:p w14:paraId="408D6D1A" w14:textId="71C923FE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35" w:type="pct"/>
            <w:shd w:val="clear" w:color="auto" w:fill="DEEAF6" w:themeFill="accent5" w:themeFillTint="33"/>
          </w:tcPr>
          <w:p w14:paraId="7EB60BE2" w14:textId="02511659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101,662</w:t>
            </w:r>
          </w:p>
        </w:tc>
        <w:tc>
          <w:tcPr>
            <w:tcW w:w="268" w:type="pct"/>
            <w:shd w:val="clear" w:color="auto" w:fill="DEEAF6" w:themeFill="accent5" w:themeFillTint="33"/>
          </w:tcPr>
          <w:p w14:paraId="71A0B311" w14:textId="67CB99CC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35" w:type="pct"/>
            <w:shd w:val="clear" w:color="auto" w:fill="DEEAF6" w:themeFill="accent5" w:themeFillTint="33"/>
            <w:vAlign w:val="center"/>
          </w:tcPr>
          <w:p w14:paraId="0A63DC03" w14:textId="644F9D6D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102,130</w:t>
            </w:r>
          </w:p>
        </w:tc>
        <w:tc>
          <w:tcPr>
            <w:tcW w:w="267" w:type="pct"/>
            <w:shd w:val="clear" w:color="auto" w:fill="DEEAF6" w:themeFill="accent5" w:themeFillTint="33"/>
            <w:vAlign w:val="center"/>
          </w:tcPr>
          <w:p w14:paraId="33FC16C3" w14:textId="79C60832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35" w:type="pct"/>
            <w:shd w:val="clear" w:color="auto" w:fill="DEEAF6" w:themeFill="accent5" w:themeFillTint="33"/>
          </w:tcPr>
          <w:p w14:paraId="16324054" w14:textId="4476F7F7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102,229</w:t>
            </w:r>
          </w:p>
        </w:tc>
        <w:tc>
          <w:tcPr>
            <w:tcW w:w="267" w:type="pct"/>
            <w:shd w:val="clear" w:color="auto" w:fill="DEEAF6" w:themeFill="accent5" w:themeFillTint="33"/>
          </w:tcPr>
          <w:p w14:paraId="7499B5C2" w14:textId="412D1215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07" w:type="pct"/>
            <w:shd w:val="clear" w:color="auto" w:fill="DEEAF6" w:themeFill="accent5" w:themeFillTint="33"/>
          </w:tcPr>
          <w:p w14:paraId="60AE5156" w14:textId="04EE5572" w:rsidR="0078505E" w:rsidRPr="00A8215D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102,2</w:t>
            </w:r>
            <w:r w:rsidR="00392211" w:rsidRPr="00A8215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</w:t>
            </w:r>
            <w:r w:rsidR="006A680B" w:rsidRPr="00A8215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222" w:type="pct"/>
            <w:shd w:val="clear" w:color="auto" w:fill="DEEAF6" w:themeFill="accent5" w:themeFillTint="33"/>
          </w:tcPr>
          <w:p w14:paraId="5E622CF6" w14:textId="5C28B0A5" w:rsidR="0078505E" w:rsidRPr="00A8215D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</w:tr>
    </w:tbl>
    <w:p w14:paraId="4F173AA2" w14:textId="10B9A0FF" w:rsidR="0004349E" w:rsidRPr="009B11FA" w:rsidRDefault="0004349E" w:rsidP="00947122">
      <w:pPr>
        <w:spacing w:after="0" w:line="240" w:lineRule="auto"/>
        <w:rPr>
          <w:rFonts w:ascii="Calibri" w:eastAsia="Times New Roman" w:hAnsi="Calibri" w:cs="Times New Roman"/>
          <w:bCs/>
          <w:sz w:val="16"/>
          <w:szCs w:val="16"/>
        </w:rPr>
      </w:pPr>
      <w:r w:rsidRPr="009B11FA">
        <w:rPr>
          <w:rFonts w:ascii="Calibri" w:eastAsia="Times New Roman" w:hAnsi="Calibri" w:cs="Times New Roman"/>
          <w:bCs/>
          <w:sz w:val="16"/>
          <w:szCs w:val="16"/>
        </w:rPr>
        <w:t># Rounds to zero.</w:t>
      </w:r>
    </w:p>
    <w:p w14:paraId="020160AD" w14:textId="0B34CB98" w:rsidR="001F7309" w:rsidRPr="009B11FA" w:rsidRDefault="000819E6" w:rsidP="00947122">
      <w:pPr>
        <w:spacing w:after="0" w:line="240" w:lineRule="auto"/>
        <w:rPr>
          <w:rFonts w:ascii="Calibri" w:eastAsia="Times New Roman" w:hAnsi="Calibri" w:cs="Times New Roman"/>
          <w:bCs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sz w:val="16"/>
          <w:szCs w:val="16"/>
        </w:rPr>
        <w:t>NOTE</w:t>
      </w:r>
      <w:r w:rsidR="0004349E" w:rsidRPr="009B11FA">
        <w:rPr>
          <w:rFonts w:ascii="Calibri" w:eastAsia="Times New Roman" w:hAnsi="Calibri" w:cs="Times New Roman"/>
          <w:bCs/>
          <w:sz w:val="16"/>
          <w:szCs w:val="16"/>
        </w:rPr>
        <w:t>: Detail may not sum to totals due to rounding.</w:t>
      </w:r>
      <w:r w:rsidR="001F7309" w:rsidRPr="009B11FA">
        <w:rPr>
          <w:rFonts w:ascii="Calibri" w:eastAsia="Times New Roman" w:hAnsi="Calibri" w:cs="Times New Roman"/>
          <w:bCs/>
          <w:sz w:val="16"/>
          <w:szCs w:val="16"/>
        </w:rPr>
        <w:t xml:space="preserve"> </w:t>
      </w:r>
    </w:p>
    <w:p w14:paraId="613955E2" w14:textId="2DB10C33" w:rsidR="000D1483" w:rsidRPr="009B11FA" w:rsidRDefault="000D1483" w:rsidP="003345A6">
      <w:pPr>
        <w:spacing w:after="240" w:line="240" w:lineRule="auto"/>
        <w:rPr>
          <w:rFonts w:ascii="Calibri" w:eastAsia="Times New Roman" w:hAnsi="Calibri" w:cs="Times New Roman"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bCs/>
          <w:sz w:val="16"/>
          <w:szCs w:val="16"/>
        </w:rPr>
        <w:t>SOURCE: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 U.S. Department of Education, National Center for Education Statistics, Common Core of Data (CCD), "Public Elementary/Secondary School Universe Survey</w:t>
      </w:r>
      <w:r w:rsidR="00C8577A" w:rsidRPr="009B11FA">
        <w:rPr>
          <w:rFonts w:ascii="Calibri" w:eastAsia="Times New Roman" w:hAnsi="Calibri" w:cs="Times New Roman"/>
          <w:sz w:val="16"/>
          <w:szCs w:val="16"/>
        </w:rPr>
        <w:t>,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" </w:t>
      </w:r>
      <w:r w:rsidR="009B11FA" w:rsidRPr="009B11FA">
        <w:rPr>
          <w:rFonts w:ascii="Calibri" w:eastAsia="Times New Roman" w:hAnsi="Calibri" w:cs="Times New Roman"/>
          <w:sz w:val="16"/>
          <w:szCs w:val="16"/>
        </w:rPr>
        <w:t xml:space="preserve">2019–20 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through 2022–23 Version 1a, 2023–24 Preliminary 0a.</w:t>
      </w:r>
    </w:p>
    <w:p w14:paraId="7890191C" w14:textId="7E1864FB" w:rsidR="00E63ED5" w:rsidRPr="001F4259" w:rsidRDefault="00E63ED5" w:rsidP="002A2D33">
      <w:pPr>
        <w:pStyle w:val="Heading3"/>
        <w:spacing w:after="120"/>
        <w:rPr>
          <w:rFonts w:eastAsia="Times New Roman"/>
        </w:rPr>
      </w:pPr>
      <w:r w:rsidRPr="001F4259">
        <w:rPr>
          <w:rFonts w:eastAsia="Times New Roman"/>
        </w:rPr>
        <w:t xml:space="preserve">Table </w:t>
      </w:r>
      <w:r w:rsidR="00EB5AAC" w:rsidRPr="001F4259">
        <w:rPr>
          <w:rFonts w:eastAsia="Times New Roman"/>
        </w:rPr>
        <w:t>1</w:t>
      </w:r>
      <w:r w:rsidRPr="001F4259">
        <w:rPr>
          <w:rFonts w:eastAsia="Times New Roman"/>
        </w:rPr>
        <w:t xml:space="preserve">.4: </w:t>
      </w:r>
      <w:r w:rsidR="000D1483" w:rsidRPr="001F4259">
        <w:rPr>
          <w:rFonts w:eastAsia="Times New Roman"/>
        </w:rPr>
        <w:t>School Type (</w:t>
      </w:r>
      <w:r w:rsidRPr="001F4259">
        <w:rPr>
          <w:rFonts w:eastAsia="Times New Roman"/>
        </w:rPr>
        <w:t>SCH_TYPE</w:t>
      </w:r>
      <w:r w:rsidR="000D1483" w:rsidRPr="001F4259">
        <w:rPr>
          <w:rFonts w:eastAsia="Times New Roman"/>
        </w:rPr>
        <w:t>)</w:t>
      </w:r>
      <w:r w:rsidRPr="001F4259">
        <w:rPr>
          <w:rFonts w:eastAsia="Times New Roman"/>
        </w:rPr>
        <w:t xml:space="preserve"> frequency table for all records in the </w:t>
      </w:r>
      <w:r w:rsidR="002B2B09" w:rsidRPr="001F4259">
        <w:rPr>
          <w:rFonts w:eastAsia="Times New Roman"/>
        </w:rPr>
        <w:t xml:space="preserve">school </w:t>
      </w:r>
      <w:r w:rsidRPr="001F4259">
        <w:rPr>
          <w:rFonts w:eastAsia="Times New Roman"/>
        </w:rPr>
        <w:t xml:space="preserve">data file: </w:t>
      </w:r>
      <w:r w:rsidR="0078505E" w:rsidRPr="001F4259">
        <w:rPr>
          <w:rFonts w:eastAsia="Times New Roman"/>
        </w:rPr>
        <w:t>School years 201</w:t>
      </w:r>
      <w:r w:rsidR="0078505E">
        <w:rPr>
          <w:rFonts w:eastAsia="Times New Roman"/>
        </w:rPr>
        <w:t>9</w:t>
      </w:r>
      <w:r w:rsidR="0078505E" w:rsidRPr="001F4259">
        <w:rPr>
          <w:rFonts w:eastAsia="Times New Roman"/>
        </w:rPr>
        <w:t>–</w:t>
      </w:r>
      <w:r w:rsidR="0078505E">
        <w:rPr>
          <w:rFonts w:eastAsia="Times New Roman"/>
        </w:rPr>
        <w:t xml:space="preserve">20 </w:t>
      </w:r>
      <w:r w:rsidR="0078505E" w:rsidRPr="001F4259">
        <w:rPr>
          <w:rFonts w:eastAsia="Times New Roman"/>
        </w:rPr>
        <w:t xml:space="preserve">through </w:t>
      </w:r>
      <w:r w:rsidR="0078505E" w:rsidRPr="001F4259">
        <w:t>202</w:t>
      </w:r>
      <w:r w:rsidR="0078505E">
        <w:t>3</w:t>
      </w:r>
      <w:r w:rsidR="0078505E" w:rsidRPr="001F4259">
        <w:rPr>
          <w:rFonts w:eastAsia="Times New Roman"/>
        </w:rPr>
        <w:t>–</w:t>
      </w:r>
      <w:r w:rsidR="0078505E" w:rsidRPr="001F4259">
        <w:t>2</w:t>
      </w:r>
      <w:r w:rsidR="0078505E">
        <w:t>4</w:t>
      </w:r>
    </w:p>
    <w:tbl>
      <w:tblPr>
        <w:tblStyle w:val="TableGrid2"/>
        <w:tblW w:w="4828" w:type="pct"/>
        <w:tblLayout w:type="fixed"/>
        <w:tblLook w:val="04A0" w:firstRow="1" w:lastRow="0" w:firstColumn="1" w:lastColumn="0" w:noHBand="0" w:noVBand="1"/>
      </w:tblPr>
      <w:tblGrid>
        <w:gridCol w:w="2792"/>
        <w:gridCol w:w="1438"/>
        <w:gridCol w:w="575"/>
        <w:gridCol w:w="1438"/>
        <w:gridCol w:w="575"/>
        <w:gridCol w:w="1438"/>
        <w:gridCol w:w="575"/>
        <w:gridCol w:w="1298"/>
        <w:gridCol w:w="575"/>
        <w:gridCol w:w="1261"/>
        <w:gridCol w:w="540"/>
      </w:tblGrid>
      <w:tr w:rsidR="0078505E" w:rsidRPr="001F4259" w14:paraId="339B106C" w14:textId="29ED162D" w:rsidTr="00A63C2A">
        <w:tc>
          <w:tcPr>
            <w:tcW w:w="1116" w:type="pct"/>
            <w:shd w:val="clear" w:color="auto" w:fill="DEEAF6" w:themeFill="accent5" w:themeFillTint="33"/>
          </w:tcPr>
          <w:p w14:paraId="2F216820" w14:textId="17415FDF" w:rsidR="0078505E" w:rsidRPr="001F4259" w:rsidRDefault="0078505E" w:rsidP="0078505E">
            <w:pPr>
              <w:rPr>
                <w:rFonts w:eastAsia="Times New Roman" w:cs="Times New Roman"/>
                <w:b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sz w:val="16"/>
                <w:szCs w:val="16"/>
              </w:rPr>
              <w:t>School Type (SCH_TYPE</w:t>
            </w:r>
            <w:r>
              <w:rPr>
                <w:rFonts w:eastAsia="Times New Roman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575" w:type="pct"/>
            <w:shd w:val="clear" w:color="auto" w:fill="DEEAF6" w:themeFill="accent5" w:themeFillTint="33"/>
          </w:tcPr>
          <w:p w14:paraId="0396CC5F" w14:textId="0403119C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2019–20</w:t>
            </w:r>
          </w:p>
        </w:tc>
        <w:tc>
          <w:tcPr>
            <w:tcW w:w="230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F9E6834" w14:textId="6CF28B44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F139ED0" w14:textId="302C92AC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2020–21</w:t>
            </w:r>
          </w:p>
        </w:tc>
        <w:tc>
          <w:tcPr>
            <w:tcW w:w="230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EC07F09" w14:textId="5B4873BB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75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FEA2A28" w14:textId="010EDE49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2021-22</w:t>
            </w:r>
          </w:p>
        </w:tc>
        <w:tc>
          <w:tcPr>
            <w:tcW w:w="230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284A1A4" w14:textId="651D725A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19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E9F8701" w14:textId="0E7DE9C9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SY 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2022–23</w:t>
            </w:r>
          </w:p>
        </w:tc>
        <w:tc>
          <w:tcPr>
            <w:tcW w:w="230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7D78DF2" w14:textId="055E6AE9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504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6DE4C98" w14:textId="70BE0A78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2023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–2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787539" w14:textId="7D204F94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</w:tr>
      <w:tr w:rsidR="003E3028" w:rsidRPr="001F4259" w14:paraId="3EE47334" w14:textId="3335BA04" w:rsidTr="006F6FF5">
        <w:tc>
          <w:tcPr>
            <w:tcW w:w="1116" w:type="pct"/>
          </w:tcPr>
          <w:p w14:paraId="5ED1BF99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1-Regular School</w:t>
            </w:r>
          </w:p>
        </w:tc>
        <w:tc>
          <w:tcPr>
            <w:tcW w:w="575" w:type="pct"/>
            <w:shd w:val="clear" w:color="auto" w:fill="auto"/>
          </w:tcPr>
          <w:p w14:paraId="7D511438" w14:textId="0F434AC8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92,331</w:t>
            </w:r>
          </w:p>
        </w:tc>
        <w:tc>
          <w:tcPr>
            <w:tcW w:w="230" w:type="pct"/>
            <w:tcBorders>
              <w:right w:val="single" w:sz="4" w:space="0" w:color="auto"/>
            </w:tcBorders>
            <w:shd w:val="clear" w:color="auto" w:fill="auto"/>
          </w:tcPr>
          <w:p w14:paraId="53F27F04" w14:textId="2DF08744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75" w:type="pct"/>
            <w:tcBorders>
              <w:right w:val="single" w:sz="4" w:space="0" w:color="auto"/>
            </w:tcBorders>
          </w:tcPr>
          <w:p w14:paraId="4AEB29AB" w14:textId="3C8706E9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92,334</w:t>
            </w:r>
          </w:p>
        </w:tc>
        <w:tc>
          <w:tcPr>
            <w:tcW w:w="230" w:type="pct"/>
            <w:tcBorders>
              <w:right w:val="single" w:sz="4" w:space="0" w:color="auto"/>
            </w:tcBorders>
          </w:tcPr>
          <w:p w14:paraId="3AAA5838" w14:textId="40B5DFB9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8C887" w14:textId="70E28080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92,762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A8B60" w14:textId="12E130BB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1E35" w14:textId="6BA46463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92,832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B64C" w14:textId="108A8B73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F772B" w14:textId="14FB05B0" w:rsidR="003E3028" w:rsidRPr="00A8215D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92,83</w:t>
            </w:r>
            <w:r w:rsidR="006A680B"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DE8AC" w14:textId="380E2249" w:rsidR="003E3028" w:rsidRPr="00A8215D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91</w:t>
            </w:r>
          </w:p>
        </w:tc>
      </w:tr>
      <w:tr w:rsidR="003E3028" w:rsidRPr="001F4259" w14:paraId="73A9B112" w14:textId="0F43D153" w:rsidTr="006F6FF5">
        <w:tc>
          <w:tcPr>
            <w:tcW w:w="1116" w:type="pct"/>
          </w:tcPr>
          <w:p w14:paraId="5D2476BE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2-Special Education School</w:t>
            </w:r>
          </w:p>
        </w:tc>
        <w:tc>
          <w:tcPr>
            <w:tcW w:w="575" w:type="pct"/>
            <w:shd w:val="clear" w:color="auto" w:fill="auto"/>
          </w:tcPr>
          <w:p w14:paraId="2DC92C9D" w14:textId="5EFC3A9F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2,094</w:t>
            </w:r>
          </w:p>
        </w:tc>
        <w:tc>
          <w:tcPr>
            <w:tcW w:w="23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48969F5" w14:textId="7E197969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5" w:type="pct"/>
            <w:tcBorders>
              <w:top w:val="single" w:sz="4" w:space="0" w:color="auto"/>
              <w:right w:val="single" w:sz="4" w:space="0" w:color="auto"/>
            </w:tcBorders>
          </w:tcPr>
          <w:p w14:paraId="26D51853" w14:textId="4E82A3C4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1,997</w:t>
            </w:r>
          </w:p>
        </w:tc>
        <w:tc>
          <w:tcPr>
            <w:tcW w:w="230" w:type="pct"/>
            <w:tcBorders>
              <w:top w:val="single" w:sz="4" w:space="0" w:color="auto"/>
              <w:right w:val="single" w:sz="4" w:space="0" w:color="auto"/>
            </w:tcBorders>
          </w:tcPr>
          <w:p w14:paraId="5813012A" w14:textId="7495A734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1F97" w14:textId="26B0A6B6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1,969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4B98A" w14:textId="10465CB5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31A4" w14:textId="41904F02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1,951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7BCD" w14:textId="5725ED3F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C4531" w14:textId="4713BB74" w:rsidR="003E3028" w:rsidRPr="00A8215D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1,941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21187" w14:textId="55885BD9" w:rsidR="003E3028" w:rsidRPr="00A8215D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E3028" w:rsidRPr="001F4259" w14:paraId="4D8266CE" w14:textId="2B27409C" w:rsidTr="006F6FF5">
        <w:tc>
          <w:tcPr>
            <w:tcW w:w="1116" w:type="pct"/>
          </w:tcPr>
          <w:p w14:paraId="4FFAEECF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3-Career and Technical School</w:t>
            </w:r>
          </w:p>
        </w:tc>
        <w:tc>
          <w:tcPr>
            <w:tcW w:w="575" w:type="pct"/>
            <w:shd w:val="clear" w:color="auto" w:fill="auto"/>
          </w:tcPr>
          <w:p w14:paraId="133D8648" w14:textId="003FF0C8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1,561</w:t>
            </w:r>
          </w:p>
        </w:tc>
        <w:tc>
          <w:tcPr>
            <w:tcW w:w="23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6DD9DF1" w14:textId="45F0D0DA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5" w:type="pct"/>
            <w:tcBorders>
              <w:top w:val="single" w:sz="4" w:space="0" w:color="auto"/>
              <w:right w:val="single" w:sz="4" w:space="0" w:color="auto"/>
            </w:tcBorders>
          </w:tcPr>
          <w:p w14:paraId="73829FBF" w14:textId="205A878C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1,606</w:t>
            </w:r>
          </w:p>
        </w:tc>
        <w:tc>
          <w:tcPr>
            <w:tcW w:w="230" w:type="pct"/>
            <w:tcBorders>
              <w:top w:val="single" w:sz="4" w:space="0" w:color="auto"/>
              <w:right w:val="single" w:sz="4" w:space="0" w:color="auto"/>
            </w:tcBorders>
          </w:tcPr>
          <w:p w14:paraId="753748F6" w14:textId="6DD753AB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F1EDC" w14:textId="5469ED3B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1,611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9DD0" w14:textId="788AEF4A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D7E7" w14:textId="0BCC41E2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1,631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6E03" w14:textId="75FAB263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D9C59" w14:textId="6F838944" w:rsidR="003E3028" w:rsidRPr="00A8215D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1,648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66EF9" w14:textId="41EBBC46" w:rsidR="003E3028" w:rsidRPr="00A8215D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3E3028" w:rsidRPr="001F4259" w14:paraId="5AD152E7" w14:textId="723C192D" w:rsidTr="006F6FF5">
        <w:tc>
          <w:tcPr>
            <w:tcW w:w="1116" w:type="pct"/>
          </w:tcPr>
          <w:p w14:paraId="1EAEC2DB" w14:textId="77777777" w:rsidR="003E3028" w:rsidRPr="001F4259" w:rsidRDefault="003E3028" w:rsidP="003E3028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4-Alternative School</w:t>
            </w:r>
          </w:p>
        </w:tc>
        <w:tc>
          <w:tcPr>
            <w:tcW w:w="575" w:type="pct"/>
            <w:shd w:val="clear" w:color="auto" w:fill="auto"/>
          </w:tcPr>
          <w:p w14:paraId="12E8A529" w14:textId="1A7EAB71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5,702</w:t>
            </w:r>
          </w:p>
        </w:tc>
        <w:tc>
          <w:tcPr>
            <w:tcW w:w="23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5A5A62" w14:textId="45FC97AA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75" w:type="pct"/>
            <w:tcBorders>
              <w:top w:val="single" w:sz="4" w:space="0" w:color="auto"/>
              <w:right w:val="single" w:sz="4" w:space="0" w:color="auto"/>
            </w:tcBorders>
          </w:tcPr>
          <w:p w14:paraId="78498EDE" w14:textId="4293B9B5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5,725</w:t>
            </w:r>
          </w:p>
        </w:tc>
        <w:tc>
          <w:tcPr>
            <w:tcW w:w="230" w:type="pct"/>
            <w:tcBorders>
              <w:top w:val="single" w:sz="4" w:space="0" w:color="auto"/>
              <w:right w:val="single" w:sz="4" w:space="0" w:color="auto"/>
            </w:tcBorders>
          </w:tcPr>
          <w:p w14:paraId="38FAE45E" w14:textId="44CE67C7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9D79" w14:textId="10AA1FB9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5,788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0D417" w14:textId="4BAF1794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A38" w14:textId="029B0EA6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5,815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34C9" w14:textId="03C8430C" w:rsidR="003E3028" w:rsidRPr="001F4259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B2B2E" w14:textId="79FC789F" w:rsidR="003E3028" w:rsidRPr="00A8215D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5,795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EC192" w14:textId="232C8F1A" w:rsidR="003E3028" w:rsidRPr="00A8215D" w:rsidRDefault="003E3028" w:rsidP="003E3028">
            <w:pPr>
              <w:tabs>
                <w:tab w:val="decimal" w:pos="491"/>
              </w:tabs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78505E" w:rsidRPr="001F4259" w14:paraId="25ACFF57" w14:textId="1374B903" w:rsidTr="00D45A00">
        <w:tc>
          <w:tcPr>
            <w:tcW w:w="1116" w:type="pct"/>
            <w:shd w:val="clear" w:color="auto" w:fill="DEEAF6" w:themeFill="accent5" w:themeFillTint="33"/>
          </w:tcPr>
          <w:p w14:paraId="2B66437B" w14:textId="77777777" w:rsidR="0078505E" w:rsidRPr="001F4259" w:rsidRDefault="0078505E" w:rsidP="0078505E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5" w:type="pct"/>
            <w:shd w:val="clear" w:color="auto" w:fill="DEEAF6" w:themeFill="accent5" w:themeFillTint="33"/>
          </w:tcPr>
          <w:p w14:paraId="0CE9E899" w14:textId="67320810" w:rsidR="0078505E" w:rsidRPr="001F4259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101,688</w:t>
            </w:r>
          </w:p>
        </w:tc>
        <w:tc>
          <w:tcPr>
            <w:tcW w:w="230" w:type="pct"/>
            <w:shd w:val="clear" w:color="auto" w:fill="DEEAF6" w:themeFill="accent5" w:themeFillTint="33"/>
          </w:tcPr>
          <w:p w14:paraId="20887649" w14:textId="26980586" w:rsidR="0078505E" w:rsidRPr="001F4259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75" w:type="pct"/>
            <w:shd w:val="clear" w:color="auto" w:fill="DEEAF6" w:themeFill="accent5" w:themeFillTint="33"/>
          </w:tcPr>
          <w:p w14:paraId="1BD228F2" w14:textId="1B673AC9" w:rsidR="0078505E" w:rsidRPr="001F4259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101,662</w:t>
            </w:r>
          </w:p>
        </w:tc>
        <w:tc>
          <w:tcPr>
            <w:tcW w:w="230" w:type="pct"/>
            <w:shd w:val="clear" w:color="auto" w:fill="DEEAF6" w:themeFill="accent5" w:themeFillTint="33"/>
          </w:tcPr>
          <w:p w14:paraId="687988AE" w14:textId="590E3BE3" w:rsidR="0078505E" w:rsidRPr="001F4259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75" w:type="pct"/>
            <w:shd w:val="clear" w:color="auto" w:fill="DEEAF6" w:themeFill="accent5" w:themeFillTint="33"/>
            <w:vAlign w:val="center"/>
          </w:tcPr>
          <w:p w14:paraId="7516446A" w14:textId="65D0D859" w:rsidR="0078505E" w:rsidRPr="001F4259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b/>
                <w:color w:val="000000"/>
                <w:sz w:val="16"/>
                <w:szCs w:val="16"/>
              </w:rPr>
              <w:t>102,130</w:t>
            </w:r>
          </w:p>
        </w:tc>
        <w:tc>
          <w:tcPr>
            <w:tcW w:w="230" w:type="pct"/>
            <w:shd w:val="clear" w:color="auto" w:fill="DEEAF6" w:themeFill="accent5" w:themeFillTint="33"/>
            <w:vAlign w:val="center"/>
          </w:tcPr>
          <w:p w14:paraId="6A5B45E7" w14:textId="204DA478" w:rsidR="0078505E" w:rsidRPr="001F4259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19" w:type="pct"/>
            <w:shd w:val="clear" w:color="auto" w:fill="DEEAF6" w:themeFill="accent5" w:themeFillTint="33"/>
          </w:tcPr>
          <w:p w14:paraId="094BFCFD" w14:textId="0E66D925" w:rsidR="0078505E" w:rsidRPr="001F4259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102,229</w:t>
            </w:r>
          </w:p>
        </w:tc>
        <w:tc>
          <w:tcPr>
            <w:tcW w:w="230" w:type="pct"/>
            <w:shd w:val="clear" w:color="auto" w:fill="DEEAF6" w:themeFill="accent5" w:themeFillTint="33"/>
          </w:tcPr>
          <w:p w14:paraId="204E3A32" w14:textId="4B869E32" w:rsidR="0078505E" w:rsidRPr="001F4259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04" w:type="pct"/>
            <w:shd w:val="clear" w:color="auto" w:fill="DEEAF6" w:themeFill="accent5" w:themeFillTint="33"/>
          </w:tcPr>
          <w:p w14:paraId="5CBC4908" w14:textId="1FF6FCFA" w:rsidR="0078505E" w:rsidRPr="00A8215D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</w:t>
            </w:r>
            <w:r w:rsidR="00392211"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2,21</w:t>
            </w:r>
            <w:r w:rsidR="006A680B"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216" w:type="pct"/>
            <w:shd w:val="clear" w:color="auto" w:fill="DEEAF6" w:themeFill="accent5" w:themeFillTint="33"/>
          </w:tcPr>
          <w:p w14:paraId="7FEA59B0" w14:textId="05048446" w:rsidR="0078505E" w:rsidRPr="00A8215D" w:rsidRDefault="0078505E" w:rsidP="0078505E">
            <w:pPr>
              <w:tabs>
                <w:tab w:val="decimal" w:pos="491"/>
              </w:tabs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</w:tr>
    </w:tbl>
    <w:p w14:paraId="773604A5" w14:textId="41EA9897" w:rsidR="0004349E" w:rsidRPr="009B11FA" w:rsidRDefault="0004349E" w:rsidP="00947122">
      <w:pPr>
        <w:spacing w:after="0" w:line="240" w:lineRule="auto"/>
        <w:rPr>
          <w:rFonts w:ascii="Calibri" w:eastAsia="Times New Roman" w:hAnsi="Calibri" w:cs="Times New Roman"/>
          <w:bCs/>
          <w:sz w:val="16"/>
          <w:szCs w:val="16"/>
        </w:rPr>
      </w:pPr>
      <w:r w:rsidRPr="009B11FA">
        <w:rPr>
          <w:rFonts w:ascii="Calibri" w:eastAsia="Times New Roman" w:hAnsi="Calibri" w:cs="Times New Roman"/>
          <w:bCs/>
          <w:sz w:val="16"/>
          <w:szCs w:val="16"/>
        </w:rPr>
        <w:t>N</w:t>
      </w:r>
      <w:r w:rsidR="000819E6" w:rsidRPr="009B11FA">
        <w:rPr>
          <w:rFonts w:ascii="Calibri" w:eastAsia="Times New Roman" w:hAnsi="Calibri" w:cs="Times New Roman"/>
          <w:b/>
          <w:sz w:val="16"/>
          <w:szCs w:val="16"/>
        </w:rPr>
        <w:t>OTE</w:t>
      </w:r>
      <w:r w:rsidRPr="009B11FA">
        <w:rPr>
          <w:rFonts w:ascii="Calibri" w:eastAsia="Times New Roman" w:hAnsi="Calibri" w:cs="Times New Roman"/>
          <w:bCs/>
          <w:sz w:val="16"/>
          <w:szCs w:val="16"/>
        </w:rPr>
        <w:t>: Detail may not sum to totals due to rounding.</w:t>
      </w:r>
    </w:p>
    <w:p w14:paraId="705449A1" w14:textId="0536444D" w:rsidR="0078505E" w:rsidRPr="009B11FA" w:rsidRDefault="000D1483" w:rsidP="0078505E">
      <w:pPr>
        <w:spacing w:after="0" w:line="240" w:lineRule="auto"/>
        <w:rPr>
          <w:rFonts w:ascii="Calibri" w:eastAsia="Times New Roman" w:hAnsi="Calibri" w:cs="Times New Roman"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bCs/>
          <w:sz w:val="16"/>
          <w:szCs w:val="16"/>
        </w:rPr>
        <w:t>SOURCE: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 U.S. Department of Education, National Center for Education Statistics, Common Core of Data (CCD), "Public Elementary/Secondary School Universe Survey,</w:t>
      </w:r>
      <w:r w:rsidR="00C8577A" w:rsidRPr="009B11FA">
        <w:rPr>
          <w:rFonts w:ascii="Calibri" w:eastAsia="Times New Roman" w:hAnsi="Calibri" w:cs="Times New Roman"/>
          <w:sz w:val="16"/>
          <w:szCs w:val="16"/>
        </w:rPr>
        <w:t>”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 </w:t>
      </w:r>
      <w:r w:rsidR="009B11FA" w:rsidRPr="009B11FA">
        <w:rPr>
          <w:rFonts w:ascii="Calibri" w:eastAsia="Times New Roman" w:hAnsi="Calibri" w:cs="Times New Roman"/>
          <w:sz w:val="16"/>
          <w:szCs w:val="16"/>
        </w:rPr>
        <w:t xml:space="preserve">2019–20 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through 2022–23 Version 1a, 2023–24 Preliminary 0a.</w:t>
      </w:r>
    </w:p>
    <w:p w14:paraId="5AF26604" w14:textId="77777777" w:rsidR="0078505E" w:rsidRDefault="0078505E" w:rsidP="0078505E">
      <w:pPr>
        <w:spacing w:after="0" w:line="240" w:lineRule="auto"/>
        <w:rPr>
          <w:rFonts w:ascii="Calibri" w:eastAsia="Times New Roman" w:hAnsi="Calibri" w:cs="Times New Roman"/>
          <w:color w:val="1F3763" w:themeColor="accent1" w:themeShade="7F"/>
          <w:sz w:val="16"/>
          <w:szCs w:val="16"/>
        </w:rPr>
      </w:pPr>
    </w:p>
    <w:p w14:paraId="009F2DC3" w14:textId="74113BA8" w:rsidR="00E63ED5" w:rsidRPr="001F4259" w:rsidRDefault="00E63ED5" w:rsidP="0078505E">
      <w:pPr>
        <w:spacing w:after="0" w:line="240" w:lineRule="auto"/>
        <w:rPr>
          <w:rFonts w:eastAsia="Times New Roman"/>
        </w:rPr>
      </w:pPr>
      <w:r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 xml:space="preserve">Table </w:t>
      </w:r>
      <w:r w:rsidR="00EB5AAC"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1</w:t>
      </w:r>
      <w:r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.</w:t>
      </w:r>
      <w:r w:rsidR="00FA0989"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5</w:t>
      </w:r>
      <w:r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 xml:space="preserve">: </w:t>
      </w:r>
      <w:r w:rsidR="000D1483"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 xml:space="preserve">Whether the school is a </w:t>
      </w:r>
      <w:r w:rsidR="00D547A3"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c</w:t>
      </w:r>
      <w:r w:rsidR="000D1483"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harter school (</w:t>
      </w:r>
      <w:r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CHARTER_TEXT</w:t>
      </w:r>
      <w:r w:rsidR="000D1483"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)</w:t>
      </w:r>
      <w:r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 xml:space="preserve"> frequency table for all records in the </w:t>
      </w:r>
      <w:r w:rsidR="00F026CF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 xml:space="preserve">school </w:t>
      </w:r>
      <w:r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 xml:space="preserve">data file: </w:t>
      </w:r>
      <w:r w:rsidR="0078505E"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School years 2019–20 through 2023–</w:t>
      </w:r>
      <w:proofErr w:type="gramStart"/>
      <w:r w:rsidR="0078505E" w:rsidRPr="0078505E">
        <w:rPr>
          <w:rFonts w:asciiTheme="majorHAnsi" w:eastAsia="Times New Roman" w:hAnsiTheme="majorHAnsi" w:cstheme="majorBidi"/>
          <w:color w:val="1F3763" w:themeColor="accent1" w:themeShade="7F"/>
          <w:sz w:val="26"/>
          <w:szCs w:val="26"/>
        </w:rPr>
        <w:t>24</w:t>
      </w:r>
      <w:proofErr w:type="gramEnd"/>
    </w:p>
    <w:tbl>
      <w:tblPr>
        <w:tblStyle w:val="TableGrid2"/>
        <w:tblW w:w="4898" w:type="pct"/>
        <w:tblLayout w:type="fixed"/>
        <w:tblLook w:val="04A0" w:firstRow="1" w:lastRow="0" w:firstColumn="1" w:lastColumn="0" w:noHBand="0" w:noVBand="1"/>
      </w:tblPr>
      <w:tblGrid>
        <w:gridCol w:w="4053"/>
        <w:gridCol w:w="1152"/>
        <w:gridCol w:w="578"/>
        <w:gridCol w:w="1149"/>
        <w:gridCol w:w="576"/>
        <w:gridCol w:w="1149"/>
        <w:gridCol w:w="576"/>
        <w:gridCol w:w="1149"/>
        <w:gridCol w:w="566"/>
        <w:gridCol w:w="1104"/>
        <w:gridCol w:w="634"/>
      </w:tblGrid>
      <w:tr w:rsidR="0078505E" w:rsidRPr="001F4259" w14:paraId="259014DA" w14:textId="779814DF" w:rsidTr="002D44C7">
        <w:tc>
          <w:tcPr>
            <w:tcW w:w="1597" w:type="pct"/>
            <w:shd w:val="clear" w:color="auto" w:fill="DEEAF6" w:themeFill="accent5" w:themeFillTint="33"/>
          </w:tcPr>
          <w:p w14:paraId="54D3A8B0" w14:textId="0C1CC189" w:rsidR="0078505E" w:rsidRPr="001F4259" w:rsidRDefault="0078505E" w:rsidP="0078505E">
            <w:pPr>
              <w:rPr>
                <w:rFonts w:eastAsia="Times New Roman" w:cs="Times New Roman"/>
                <w:b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sz w:val="16"/>
                <w:szCs w:val="16"/>
              </w:rPr>
              <w:t xml:space="preserve">Whether the school is a </w:t>
            </w:r>
            <w:r>
              <w:rPr>
                <w:rFonts w:eastAsia="Times New Roman" w:cs="Times New Roman"/>
                <w:b/>
                <w:sz w:val="16"/>
                <w:szCs w:val="16"/>
              </w:rPr>
              <w:t>c</w:t>
            </w:r>
            <w:r w:rsidRPr="001F4259">
              <w:rPr>
                <w:rFonts w:eastAsia="Times New Roman" w:cs="Times New Roman"/>
                <w:b/>
                <w:sz w:val="16"/>
                <w:szCs w:val="16"/>
              </w:rPr>
              <w:t>harter school (CHARTER_TEXT)</w:t>
            </w:r>
          </w:p>
        </w:tc>
        <w:tc>
          <w:tcPr>
            <w:tcW w:w="454" w:type="pct"/>
            <w:shd w:val="clear" w:color="auto" w:fill="DEEAF6" w:themeFill="accent5" w:themeFillTint="33"/>
            <w:vAlign w:val="bottom"/>
          </w:tcPr>
          <w:p w14:paraId="6894A11B" w14:textId="3DFFC61D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2019–20</w:t>
            </w:r>
          </w:p>
        </w:tc>
        <w:tc>
          <w:tcPr>
            <w:tcW w:w="228" w:type="pct"/>
            <w:shd w:val="clear" w:color="auto" w:fill="DEEAF6" w:themeFill="accent5" w:themeFillTint="33"/>
            <w:vAlign w:val="bottom"/>
          </w:tcPr>
          <w:p w14:paraId="28F56DAA" w14:textId="39DB1F27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453" w:type="pct"/>
            <w:shd w:val="clear" w:color="auto" w:fill="DEEAF6" w:themeFill="accent5" w:themeFillTint="33"/>
            <w:vAlign w:val="bottom"/>
          </w:tcPr>
          <w:p w14:paraId="0A8F9109" w14:textId="0A072CDA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2020–21</w:t>
            </w:r>
          </w:p>
        </w:tc>
        <w:tc>
          <w:tcPr>
            <w:tcW w:w="227" w:type="pct"/>
            <w:shd w:val="clear" w:color="auto" w:fill="DEEAF6" w:themeFill="accent5" w:themeFillTint="33"/>
            <w:vAlign w:val="bottom"/>
          </w:tcPr>
          <w:p w14:paraId="40BBACC8" w14:textId="369EFF8D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453" w:type="pct"/>
            <w:shd w:val="clear" w:color="auto" w:fill="DEEAF6" w:themeFill="accent5" w:themeFillTint="33"/>
          </w:tcPr>
          <w:p w14:paraId="5E3F6BD0" w14:textId="08CB1197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2021-22</w:t>
            </w:r>
          </w:p>
        </w:tc>
        <w:tc>
          <w:tcPr>
            <w:tcW w:w="227" w:type="pct"/>
            <w:shd w:val="clear" w:color="auto" w:fill="DEEAF6" w:themeFill="accent5" w:themeFillTint="33"/>
          </w:tcPr>
          <w:p w14:paraId="3057CF52" w14:textId="37FFA491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453" w:type="pct"/>
            <w:shd w:val="clear" w:color="auto" w:fill="DEEAF6" w:themeFill="accent5" w:themeFillTint="33"/>
          </w:tcPr>
          <w:p w14:paraId="565F7C7F" w14:textId="29881536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SY 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2022–23</w:t>
            </w:r>
          </w:p>
        </w:tc>
        <w:tc>
          <w:tcPr>
            <w:tcW w:w="223" w:type="pct"/>
            <w:shd w:val="clear" w:color="auto" w:fill="DEEAF6" w:themeFill="accent5" w:themeFillTint="33"/>
          </w:tcPr>
          <w:p w14:paraId="5AEB5A6D" w14:textId="49FC39A5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  <w:tc>
          <w:tcPr>
            <w:tcW w:w="435" w:type="pct"/>
            <w:shd w:val="clear" w:color="auto" w:fill="DEEAF6" w:themeFill="accent5" w:themeFillTint="33"/>
          </w:tcPr>
          <w:p w14:paraId="010ECE16" w14:textId="6F65CBA2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SY 2023</w:t>
            </w:r>
            <w:r w:rsidRPr="001114B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–2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50" w:type="pct"/>
            <w:shd w:val="clear" w:color="auto" w:fill="DEEAF6" w:themeFill="accent5" w:themeFillTint="33"/>
          </w:tcPr>
          <w:p w14:paraId="2065B596" w14:textId="1A66632E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%</w:t>
            </w:r>
          </w:p>
        </w:tc>
      </w:tr>
      <w:tr w:rsidR="0078505E" w:rsidRPr="001F4259" w14:paraId="6495CF19" w14:textId="78F3F7A8" w:rsidTr="002D44C7">
        <w:tc>
          <w:tcPr>
            <w:tcW w:w="1597" w:type="pct"/>
          </w:tcPr>
          <w:p w14:paraId="237CA6DE" w14:textId="77777777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54" w:type="pct"/>
            <w:shd w:val="clear" w:color="auto" w:fill="auto"/>
          </w:tcPr>
          <w:p w14:paraId="529C5D23" w14:textId="5EB87E39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89,306</w:t>
            </w:r>
          </w:p>
        </w:tc>
        <w:tc>
          <w:tcPr>
            <w:tcW w:w="228" w:type="pct"/>
            <w:shd w:val="clear" w:color="auto" w:fill="auto"/>
          </w:tcPr>
          <w:p w14:paraId="53ADE6A6" w14:textId="39A7D498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53" w:type="pct"/>
          </w:tcPr>
          <w:p w14:paraId="060141CD" w14:textId="1866CB2D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89,186</w:t>
            </w:r>
          </w:p>
        </w:tc>
        <w:tc>
          <w:tcPr>
            <w:tcW w:w="227" w:type="pct"/>
          </w:tcPr>
          <w:p w14:paraId="7945F803" w14:textId="58823EB3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7CDD8ADD" w14:textId="447E7C71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90,226</w:t>
            </w:r>
          </w:p>
        </w:tc>
        <w:tc>
          <w:tcPr>
            <w:tcW w:w="227" w:type="pct"/>
            <w:shd w:val="clear" w:color="auto" w:fill="auto"/>
            <w:vAlign w:val="center"/>
          </w:tcPr>
          <w:p w14:paraId="186D2490" w14:textId="0C331006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53" w:type="pct"/>
          </w:tcPr>
          <w:p w14:paraId="043B86CC" w14:textId="2A01EBB9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90,220</w:t>
            </w:r>
          </w:p>
        </w:tc>
        <w:tc>
          <w:tcPr>
            <w:tcW w:w="223" w:type="pct"/>
          </w:tcPr>
          <w:p w14:paraId="15CA81E5" w14:textId="37991F50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35" w:type="pct"/>
          </w:tcPr>
          <w:p w14:paraId="45055F2F" w14:textId="391F5738" w:rsidR="0078505E" w:rsidRPr="00A8215D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90,</w:t>
            </w:r>
            <w:r w:rsidR="00392211"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50" w:type="pct"/>
          </w:tcPr>
          <w:p w14:paraId="4270E2C4" w14:textId="05F6CD1F" w:rsidR="0078505E" w:rsidRPr="00A8215D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88</w:t>
            </w:r>
          </w:p>
        </w:tc>
      </w:tr>
      <w:tr w:rsidR="0078505E" w:rsidRPr="001F4259" w14:paraId="57010C6F" w14:textId="7FB8410E" w:rsidTr="002D44C7">
        <w:tc>
          <w:tcPr>
            <w:tcW w:w="1597" w:type="pct"/>
          </w:tcPr>
          <w:p w14:paraId="6236DC7A" w14:textId="77777777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Not applicable</w:t>
            </w:r>
          </w:p>
        </w:tc>
        <w:tc>
          <w:tcPr>
            <w:tcW w:w="454" w:type="pct"/>
            <w:shd w:val="clear" w:color="auto" w:fill="auto"/>
          </w:tcPr>
          <w:p w14:paraId="42869BEE" w14:textId="7332F155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4,423</w:t>
            </w:r>
          </w:p>
        </w:tc>
        <w:tc>
          <w:tcPr>
            <w:tcW w:w="228" w:type="pct"/>
            <w:shd w:val="clear" w:color="auto" w:fill="auto"/>
          </w:tcPr>
          <w:p w14:paraId="4118E129" w14:textId="2449CF08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3" w:type="pct"/>
          </w:tcPr>
          <w:p w14:paraId="55FD40B1" w14:textId="6F62901F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4,458</w:t>
            </w:r>
          </w:p>
        </w:tc>
        <w:tc>
          <w:tcPr>
            <w:tcW w:w="227" w:type="pct"/>
          </w:tcPr>
          <w:p w14:paraId="6FA7A11C" w14:textId="33B0B655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5C32E422" w14:textId="13428622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3,736</w:t>
            </w:r>
          </w:p>
        </w:tc>
        <w:tc>
          <w:tcPr>
            <w:tcW w:w="227" w:type="pct"/>
            <w:shd w:val="clear" w:color="auto" w:fill="auto"/>
            <w:vAlign w:val="center"/>
          </w:tcPr>
          <w:p w14:paraId="4226A79D" w14:textId="4E4FC4C3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3" w:type="pct"/>
          </w:tcPr>
          <w:p w14:paraId="2705592C" w14:textId="527669A5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3,737</w:t>
            </w:r>
          </w:p>
        </w:tc>
        <w:tc>
          <w:tcPr>
            <w:tcW w:w="223" w:type="pct"/>
          </w:tcPr>
          <w:p w14:paraId="52F52472" w14:textId="0C856951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35" w:type="pct"/>
          </w:tcPr>
          <w:p w14:paraId="6FC8B020" w14:textId="523A65A5" w:rsidR="0078505E" w:rsidRPr="00A8215D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3,7</w:t>
            </w:r>
            <w:r w:rsidR="00392211"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50" w:type="pct"/>
          </w:tcPr>
          <w:p w14:paraId="5AA4BDB4" w14:textId="1785DFF0" w:rsidR="0078505E" w:rsidRPr="00A8215D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78505E" w:rsidRPr="001F4259" w14:paraId="123A2E56" w14:textId="7D0E99E6" w:rsidTr="002D44C7">
        <w:tc>
          <w:tcPr>
            <w:tcW w:w="1597" w:type="pct"/>
          </w:tcPr>
          <w:p w14:paraId="5E46E294" w14:textId="77777777" w:rsidR="0078505E" w:rsidRPr="001F4259" w:rsidRDefault="0078505E" w:rsidP="0078505E">
            <w:pPr>
              <w:rPr>
                <w:rFonts w:eastAsia="Times New Roman" w:cs="Times New Roman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4" w:type="pct"/>
            <w:shd w:val="clear" w:color="auto" w:fill="auto"/>
          </w:tcPr>
          <w:p w14:paraId="1EA7D31B" w14:textId="4C072C8E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7,959</w:t>
            </w:r>
          </w:p>
        </w:tc>
        <w:tc>
          <w:tcPr>
            <w:tcW w:w="228" w:type="pct"/>
            <w:shd w:val="clear" w:color="auto" w:fill="auto"/>
          </w:tcPr>
          <w:p w14:paraId="275A79C4" w14:textId="5BF088F4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" w:type="pct"/>
          </w:tcPr>
          <w:p w14:paraId="748DE1C6" w14:textId="0FFA3460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8,018</w:t>
            </w:r>
          </w:p>
        </w:tc>
        <w:tc>
          <w:tcPr>
            <w:tcW w:w="227" w:type="pct"/>
          </w:tcPr>
          <w:p w14:paraId="021B5C53" w14:textId="0779B27A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4259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273FE36D" w14:textId="13CD92F9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8,168</w:t>
            </w:r>
          </w:p>
        </w:tc>
        <w:tc>
          <w:tcPr>
            <w:tcW w:w="227" w:type="pct"/>
            <w:shd w:val="clear" w:color="auto" w:fill="auto"/>
            <w:vAlign w:val="center"/>
          </w:tcPr>
          <w:p w14:paraId="52BC8271" w14:textId="2AC83B6D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53" w:type="pct"/>
          </w:tcPr>
          <w:p w14:paraId="4D750628" w14:textId="35B6EB8E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8,272</w:t>
            </w:r>
          </w:p>
        </w:tc>
        <w:tc>
          <w:tcPr>
            <w:tcW w:w="223" w:type="pct"/>
          </w:tcPr>
          <w:p w14:paraId="62C24C29" w14:textId="13C33011" w:rsidR="0078505E" w:rsidRPr="001F4259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35" w:type="pct"/>
          </w:tcPr>
          <w:p w14:paraId="51649B7D" w14:textId="4BF6E788" w:rsidR="0078505E" w:rsidRPr="00A8215D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8,</w:t>
            </w:r>
            <w:r w:rsidR="00392211"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  <w:r w:rsidR="006A680B"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50" w:type="pct"/>
          </w:tcPr>
          <w:p w14:paraId="343301E5" w14:textId="57162C99" w:rsidR="0078505E" w:rsidRPr="00A8215D" w:rsidRDefault="0078505E" w:rsidP="0078505E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8215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78505E" w:rsidRPr="001F4259" w14:paraId="168204D7" w14:textId="23DC730D" w:rsidTr="002D44C7">
        <w:trPr>
          <w:trHeight w:val="70"/>
        </w:trPr>
        <w:tc>
          <w:tcPr>
            <w:tcW w:w="1597" w:type="pct"/>
            <w:shd w:val="clear" w:color="auto" w:fill="DEEAF6" w:themeFill="accent5" w:themeFillTint="33"/>
          </w:tcPr>
          <w:p w14:paraId="5D105AA7" w14:textId="77777777" w:rsidR="0078505E" w:rsidRPr="001F4259" w:rsidRDefault="0078505E" w:rsidP="0078505E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54" w:type="pct"/>
            <w:shd w:val="clear" w:color="auto" w:fill="DEEAF6" w:themeFill="accent5" w:themeFillTint="33"/>
          </w:tcPr>
          <w:p w14:paraId="364D4CC3" w14:textId="236997F1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101,688</w:t>
            </w:r>
          </w:p>
        </w:tc>
        <w:tc>
          <w:tcPr>
            <w:tcW w:w="228" w:type="pct"/>
            <w:shd w:val="clear" w:color="auto" w:fill="DEEAF6" w:themeFill="accent5" w:themeFillTint="33"/>
          </w:tcPr>
          <w:p w14:paraId="4E86B7BF" w14:textId="2B3A2047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53" w:type="pct"/>
            <w:shd w:val="clear" w:color="auto" w:fill="DEEAF6" w:themeFill="accent5" w:themeFillTint="33"/>
          </w:tcPr>
          <w:p w14:paraId="5B474D86" w14:textId="28B56A94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101,662</w:t>
            </w:r>
          </w:p>
        </w:tc>
        <w:tc>
          <w:tcPr>
            <w:tcW w:w="227" w:type="pct"/>
            <w:shd w:val="clear" w:color="auto" w:fill="DEEAF6" w:themeFill="accent5" w:themeFillTint="33"/>
          </w:tcPr>
          <w:p w14:paraId="5975F6CE" w14:textId="22C57193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F425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53" w:type="pct"/>
            <w:shd w:val="clear" w:color="auto" w:fill="DEEAF6" w:themeFill="accent5" w:themeFillTint="33"/>
            <w:vAlign w:val="center"/>
          </w:tcPr>
          <w:p w14:paraId="67C958E4" w14:textId="7F311087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b/>
                <w:color w:val="000000"/>
                <w:sz w:val="16"/>
                <w:szCs w:val="16"/>
              </w:rPr>
              <w:t>102,130</w:t>
            </w:r>
          </w:p>
        </w:tc>
        <w:tc>
          <w:tcPr>
            <w:tcW w:w="227" w:type="pct"/>
            <w:shd w:val="clear" w:color="auto" w:fill="DEEAF6" w:themeFill="accent5" w:themeFillTint="33"/>
            <w:vAlign w:val="center"/>
          </w:tcPr>
          <w:p w14:paraId="2D0FFBE6" w14:textId="69E75126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E95335">
              <w:rPr>
                <w:rFonts w:cstheme="minorHAnsi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53" w:type="pct"/>
            <w:shd w:val="clear" w:color="auto" w:fill="DEEAF6" w:themeFill="accent5" w:themeFillTint="33"/>
          </w:tcPr>
          <w:p w14:paraId="6DC07744" w14:textId="14087D64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102,229</w:t>
            </w:r>
          </w:p>
        </w:tc>
        <w:tc>
          <w:tcPr>
            <w:tcW w:w="223" w:type="pct"/>
            <w:shd w:val="clear" w:color="auto" w:fill="DEEAF6" w:themeFill="accent5" w:themeFillTint="33"/>
          </w:tcPr>
          <w:p w14:paraId="75165CD3" w14:textId="55F01CED" w:rsidR="0078505E" w:rsidRPr="001F4259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35" w:type="pct"/>
            <w:shd w:val="clear" w:color="auto" w:fill="DEEAF6" w:themeFill="accent5" w:themeFillTint="33"/>
          </w:tcPr>
          <w:p w14:paraId="7A595A07" w14:textId="64D5A426" w:rsidR="0078505E" w:rsidRPr="00A8215D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102,2</w:t>
            </w:r>
            <w:r w:rsidR="00392211"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</w:t>
            </w:r>
            <w:r w:rsidR="006A680B"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250" w:type="pct"/>
            <w:shd w:val="clear" w:color="auto" w:fill="DEEAF6" w:themeFill="accent5" w:themeFillTint="33"/>
          </w:tcPr>
          <w:p w14:paraId="5B3690CA" w14:textId="7DD13D99" w:rsidR="0078505E" w:rsidRPr="00A8215D" w:rsidRDefault="0078505E" w:rsidP="007850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A8215D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100</w:t>
            </w:r>
          </w:p>
        </w:tc>
      </w:tr>
    </w:tbl>
    <w:p w14:paraId="36D2F9B6" w14:textId="3097B759" w:rsidR="0004349E" w:rsidRPr="009B11FA" w:rsidRDefault="0004349E" w:rsidP="00947122">
      <w:pPr>
        <w:spacing w:after="0" w:line="240" w:lineRule="auto"/>
        <w:rPr>
          <w:rFonts w:ascii="Calibri" w:eastAsia="Times New Roman" w:hAnsi="Calibri" w:cs="Times New Roman"/>
          <w:bCs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sz w:val="16"/>
          <w:szCs w:val="16"/>
        </w:rPr>
        <w:t>N</w:t>
      </w:r>
      <w:r w:rsidR="000819E6" w:rsidRPr="009B11FA">
        <w:rPr>
          <w:rFonts w:ascii="Calibri" w:eastAsia="Times New Roman" w:hAnsi="Calibri" w:cs="Times New Roman"/>
          <w:b/>
          <w:sz w:val="16"/>
          <w:szCs w:val="16"/>
        </w:rPr>
        <w:t>OTE</w:t>
      </w:r>
      <w:r w:rsidR="00B0060C" w:rsidRPr="009B11FA">
        <w:rPr>
          <w:rFonts w:ascii="Calibri" w:eastAsia="Times New Roman" w:hAnsi="Calibri" w:cs="Times New Roman"/>
          <w:b/>
          <w:sz w:val="16"/>
          <w:szCs w:val="16"/>
        </w:rPr>
        <w:t xml:space="preserve">: </w:t>
      </w:r>
      <w:r w:rsidRPr="009B11FA">
        <w:rPr>
          <w:rFonts w:ascii="Calibri" w:eastAsia="Times New Roman" w:hAnsi="Calibri" w:cs="Times New Roman"/>
          <w:bCs/>
          <w:sz w:val="16"/>
          <w:szCs w:val="16"/>
        </w:rPr>
        <w:t>Detail may not sum to totals due to rounding.</w:t>
      </w:r>
    </w:p>
    <w:p w14:paraId="56C28C57" w14:textId="14C1AC72" w:rsidR="0004349E" w:rsidRPr="009B11FA" w:rsidRDefault="0004349E" w:rsidP="00947122">
      <w:pPr>
        <w:spacing w:after="0" w:line="240" w:lineRule="auto"/>
        <w:rPr>
          <w:rFonts w:ascii="Calibri" w:eastAsia="Times New Roman" w:hAnsi="Calibri" w:cs="Times New Roman"/>
          <w:sz w:val="16"/>
          <w:szCs w:val="16"/>
        </w:rPr>
      </w:pPr>
      <w:r w:rsidRPr="009B11FA">
        <w:rPr>
          <w:rFonts w:ascii="Calibri" w:eastAsia="Times New Roman" w:hAnsi="Calibri" w:cs="Times New Roman"/>
          <w:b/>
          <w:bCs/>
          <w:sz w:val="16"/>
          <w:szCs w:val="16"/>
        </w:rPr>
        <w:t>SOURCE: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 U.S. Department of Education, National Center for Education Statistics, Common Core of Data (CCD), "Public Elementary/Secondary School Universe Survey</w:t>
      </w:r>
      <w:r w:rsidR="00C8577A" w:rsidRPr="009B11FA">
        <w:rPr>
          <w:rFonts w:ascii="Calibri" w:eastAsia="Times New Roman" w:hAnsi="Calibri" w:cs="Times New Roman"/>
          <w:sz w:val="16"/>
          <w:szCs w:val="16"/>
        </w:rPr>
        <w:t>,</w:t>
      </w:r>
      <w:r w:rsidRPr="009B11FA">
        <w:rPr>
          <w:rFonts w:ascii="Calibri" w:eastAsia="Times New Roman" w:hAnsi="Calibri" w:cs="Times New Roman"/>
          <w:sz w:val="16"/>
          <w:szCs w:val="16"/>
        </w:rPr>
        <w:t xml:space="preserve">" 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2</w:t>
      </w:r>
      <w:r w:rsidR="009B11FA" w:rsidRPr="009B11FA">
        <w:rPr>
          <w:rFonts w:ascii="Calibri" w:eastAsia="Times New Roman" w:hAnsi="Calibri" w:cs="Times New Roman"/>
          <w:sz w:val="16"/>
          <w:szCs w:val="16"/>
        </w:rPr>
        <w:t xml:space="preserve">019–20 </w:t>
      </w:r>
      <w:r w:rsidR="0078505E" w:rsidRPr="009B11FA">
        <w:rPr>
          <w:rFonts w:ascii="Calibri" w:eastAsia="Times New Roman" w:hAnsi="Calibri" w:cs="Times New Roman"/>
          <w:sz w:val="16"/>
          <w:szCs w:val="16"/>
        </w:rPr>
        <w:t>through 2022–23 Version 1a, 2023–24 Preliminary 0a.</w:t>
      </w:r>
    </w:p>
    <w:sectPr w:rsidR="0004349E" w:rsidRPr="009B11FA" w:rsidSect="0020119C">
      <w:pgSz w:w="15840" w:h="12240" w:orient="landscape"/>
      <w:pgMar w:top="126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17AA" w14:textId="77777777" w:rsidR="009058DA" w:rsidRDefault="009058DA" w:rsidP="002A15D6">
      <w:pPr>
        <w:spacing w:after="0" w:line="240" w:lineRule="auto"/>
      </w:pPr>
      <w:r>
        <w:separator/>
      </w:r>
    </w:p>
    <w:p w14:paraId="795893EB" w14:textId="77777777" w:rsidR="009058DA" w:rsidRDefault="009058DA"/>
  </w:endnote>
  <w:endnote w:type="continuationSeparator" w:id="0">
    <w:p w14:paraId="7C985713" w14:textId="77777777" w:rsidR="009058DA" w:rsidRDefault="009058DA" w:rsidP="002A15D6">
      <w:pPr>
        <w:spacing w:after="0" w:line="240" w:lineRule="auto"/>
      </w:pPr>
      <w:r>
        <w:continuationSeparator/>
      </w:r>
    </w:p>
    <w:p w14:paraId="7B516424" w14:textId="77777777" w:rsidR="009058DA" w:rsidRDefault="009058DA"/>
  </w:endnote>
  <w:endnote w:type="continuationNotice" w:id="1">
    <w:p w14:paraId="32154A2E" w14:textId="77777777" w:rsidR="009058DA" w:rsidRDefault="009058DA">
      <w:pPr>
        <w:spacing w:after="0" w:line="240" w:lineRule="auto"/>
      </w:pPr>
    </w:p>
    <w:p w14:paraId="75CB90AA" w14:textId="77777777" w:rsidR="009058DA" w:rsidRDefault="009058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26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78921" w14:textId="77777777" w:rsidR="00A349A8" w:rsidRDefault="00A349A8" w:rsidP="002A15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9CD8B" w14:textId="77777777" w:rsidR="009058DA" w:rsidRDefault="009058DA" w:rsidP="002A15D6">
      <w:pPr>
        <w:spacing w:after="0" w:line="240" w:lineRule="auto"/>
      </w:pPr>
      <w:r>
        <w:separator/>
      </w:r>
    </w:p>
    <w:p w14:paraId="215F36EC" w14:textId="77777777" w:rsidR="009058DA" w:rsidRDefault="009058DA"/>
  </w:footnote>
  <w:footnote w:type="continuationSeparator" w:id="0">
    <w:p w14:paraId="69F4F6A7" w14:textId="77777777" w:rsidR="009058DA" w:rsidRDefault="009058DA" w:rsidP="002A15D6">
      <w:pPr>
        <w:spacing w:after="0" w:line="240" w:lineRule="auto"/>
      </w:pPr>
      <w:r>
        <w:continuationSeparator/>
      </w:r>
    </w:p>
    <w:p w14:paraId="75A75A74" w14:textId="77777777" w:rsidR="009058DA" w:rsidRDefault="009058DA"/>
  </w:footnote>
  <w:footnote w:type="continuationNotice" w:id="1">
    <w:p w14:paraId="08E0E43D" w14:textId="77777777" w:rsidR="009058DA" w:rsidRDefault="009058DA">
      <w:pPr>
        <w:spacing w:after="0" w:line="240" w:lineRule="auto"/>
      </w:pPr>
    </w:p>
    <w:p w14:paraId="36A0BFA5" w14:textId="77777777" w:rsidR="009058DA" w:rsidRDefault="009058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1805" w14:textId="0CE9BD4F" w:rsidR="00A349A8" w:rsidRDefault="00A349A8" w:rsidP="00CF270B">
    <w:pPr>
      <w:pStyle w:val="Header"/>
      <w:jc w:val="right"/>
    </w:pPr>
    <w:r w:rsidRPr="001F4259">
      <w:t>NCES 202</w:t>
    </w:r>
    <w:r w:rsidR="0078505E">
      <w:t>4</w:t>
    </w:r>
    <w:r w:rsidR="008F1E1C">
      <w:t>-</w:t>
    </w:r>
    <w:r w:rsidR="00CB2BF3">
      <w:t>122</w:t>
    </w:r>
  </w:p>
  <w:p w14:paraId="598CC9F6" w14:textId="77777777" w:rsidR="00A349A8" w:rsidRDefault="00A349A8" w:rsidP="00CF27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685"/>
    <w:multiLevelType w:val="hybridMultilevel"/>
    <w:tmpl w:val="3CE0C0CE"/>
    <w:lvl w:ilvl="0" w:tplc="6A12D1F4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A3926"/>
    <w:multiLevelType w:val="hybridMultilevel"/>
    <w:tmpl w:val="4F3E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0D98"/>
    <w:multiLevelType w:val="hybridMultilevel"/>
    <w:tmpl w:val="8342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D0DA3"/>
    <w:multiLevelType w:val="hybridMultilevel"/>
    <w:tmpl w:val="EBA6D160"/>
    <w:lvl w:ilvl="0" w:tplc="018A6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D1F6C"/>
    <w:multiLevelType w:val="hybridMultilevel"/>
    <w:tmpl w:val="5A80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50E8E"/>
    <w:multiLevelType w:val="hybridMultilevel"/>
    <w:tmpl w:val="18FC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E5CAB"/>
    <w:multiLevelType w:val="hybridMultilevel"/>
    <w:tmpl w:val="224622A8"/>
    <w:lvl w:ilvl="0" w:tplc="E15AEA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2782"/>
    <w:multiLevelType w:val="hybridMultilevel"/>
    <w:tmpl w:val="C6DE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E0BEB"/>
    <w:multiLevelType w:val="multilevel"/>
    <w:tmpl w:val="F3D6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540023"/>
    <w:multiLevelType w:val="hybridMultilevel"/>
    <w:tmpl w:val="F0BA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C4A9A"/>
    <w:multiLevelType w:val="hybridMultilevel"/>
    <w:tmpl w:val="5540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57135"/>
    <w:multiLevelType w:val="hybridMultilevel"/>
    <w:tmpl w:val="B378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F627B"/>
    <w:multiLevelType w:val="hybridMultilevel"/>
    <w:tmpl w:val="C20A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F0E99"/>
    <w:multiLevelType w:val="hybridMultilevel"/>
    <w:tmpl w:val="EC52B890"/>
    <w:lvl w:ilvl="0" w:tplc="016CD7B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829538">
    <w:abstractNumId w:val="11"/>
  </w:num>
  <w:num w:numId="2" w16cid:durableId="298732831">
    <w:abstractNumId w:val="4"/>
  </w:num>
  <w:num w:numId="3" w16cid:durableId="1246722300">
    <w:abstractNumId w:val="2"/>
  </w:num>
  <w:num w:numId="4" w16cid:durableId="1798327979">
    <w:abstractNumId w:val="3"/>
  </w:num>
  <w:num w:numId="5" w16cid:durableId="1171918423">
    <w:abstractNumId w:val="0"/>
  </w:num>
  <w:num w:numId="6" w16cid:durableId="1043137829">
    <w:abstractNumId w:val="7"/>
  </w:num>
  <w:num w:numId="7" w16cid:durableId="440034978">
    <w:abstractNumId w:val="8"/>
  </w:num>
  <w:num w:numId="8" w16cid:durableId="2084794963">
    <w:abstractNumId w:val="13"/>
  </w:num>
  <w:num w:numId="9" w16cid:durableId="690494485">
    <w:abstractNumId w:val="6"/>
  </w:num>
  <w:num w:numId="10" w16cid:durableId="397945224">
    <w:abstractNumId w:val="5"/>
  </w:num>
  <w:num w:numId="11" w16cid:durableId="1773359411">
    <w:abstractNumId w:val="12"/>
  </w:num>
  <w:num w:numId="12" w16cid:durableId="1333607219">
    <w:abstractNumId w:val="9"/>
  </w:num>
  <w:num w:numId="13" w16cid:durableId="2002463232">
    <w:abstractNumId w:val="1"/>
  </w:num>
  <w:num w:numId="14" w16cid:durableId="1454327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C35"/>
    <w:rsid w:val="000016BC"/>
    <w:rsid w:val="00003965"/>
    <w:rsid w:val="00007B4A"/>
    <w:rsid w:val="00020091"/>
    <w:rsid w:val="0002188D"/>
    <w:rsid w:val="00022FAE"/>
    <w:rsid w:val="00033435"/>
    <w:rsid w:val="00033447"/>
    <w:rsid w:val="00034150"/>
    <w:rsid w:val="000377B8"/>
    <w:rsid w:val="0004349E"/>
    <w:rsid w:val="000475D3"/>
    <w:rsid w:val="00055C8D"/>
    <w:rsid w:val="000612E7"/>
    <w:rsid w:val="00073E89"/>
    <w:rsid w:val="00076474"/>
    <w:rsid w:val="00076681"/>
    <w:rsid w:val="0008062D"/>
    <w:rsid w:val="000819E6"/>
    <w:rsid w:val="00085D66"/>
    <w:rsid w:val="00092DFE"/>
    <w:rsid w:val="0009469A"/>
    <w:rsid w:val="000A472F"/>
    <w:rsid w:val="000B2F94"/>
    <w:rsid w:val="000B6C50"/>
    <w:rsid w:val="000B6EE5"/>
    <w:rsid w:val="000C220E"/>
    <w:rsid w:val="000C7861"/>
    <w:rsid w:val="000D1483"/>
    <w:rsid w:val="000F7AEE"/>
    <w:rsid w:val="00100768"/>
    <w:rsid w:val="00101ACC"/>
    <w:rsid w:val="00105BA4"/>
    <w:rsid w:val="001114B4"/>
    <w:rsid w:val="00113541"/>
    <w:rsid w:val="00141CA3"/>
    <w:rsid w:val="00142400"/>
    <w:rsid w:val="00142633"/>
    <w:rsid w:val="00143812"/>
    <w:rsid w:val="001550A0"/>
    <w:rsid w:val="0016415E"/>
    <w:rsid w:val="00166602"/>
    <w:rsid w:val="00175245"/>
    <w:rsid w:val="00180E15"/>
    <w:rsid w:val="001876FF"/>
    <w:rsid w:val="00194AB2"/>
    <w:rsid w:val="001A3501"/>
    <w:rsid w:val="001A6D39"/>
    <w:rsid w:val="001B0CB6"/>
    <w:rsid w:val="001B0D8E"/>
    <w:rsid w:val="001B31DE"/>
    <w:rsid w:val="001B6ED4"/>
    <w:rsid w:val="001C1996"/>
    <w:rsid w:val="001C5133"/>
    <w:rsid w:val="001E0A1D"/>
    <w:rsid w:val="001E720E"/>
    <w:rsid w:val="001E79EB"/>
    <w:rsid w:val="001F4259"/>
    <w:rsid w:val="001F7309"/>
    <w:rsid w:val="0020119C"/>
    <w:rsid w:val="00202C19"/>
    <w:rsid w:val="00204B2D"/>
    <w:rsid w:val="00220C2A"/>
    <w:rsid w:val="00222631"/>
    <w:rsid w:val="00224CCF"/>
    <w:rsid w:val="002253C3"/>
    <w:rsid w:val="00240982"/>
    <w:rsid w:val="0024515E"/>
    <w:rsid w:val="00246773"/>
    <w:rsid w:val="00246DE1"/>
    <w:rsid w:val="00251D58"/>
    <w:rsid w:val="00253F61"/>
    <w:rsid w:val="00255231"/>
    <w:rsid w:val="002567E9"/>
    <w:rsid w:val="00257C3E"/>
    <w:rsid w:val="00263183"/>
    <w:rsid w:val="00264076"/>
    <w:rsid w:val="00286480"/>
    <w:rsid w:val="002902F1"/>
    <w:rsid w:val="00292316"/>
    <w:rsid w:val="00295119"/>
    <w:rsid w:val="002976F8"/>
    <w:rsid w:val="002A15D6"/>
    <w:rsid w:val="002A2D33"/>
    <w:rsid w:val="002B0CDB"/>
    <w:rsid w:val="002B2B09"/>
    <w:rsid w:val="002B3D0E"/>
    <w:rsid w:val="002B5AA7"/>
    <w:rsid w:val="002B7688"/>
    <w:rsid w:val="002C7345"/>
    <w:rsid w:val="002D7D82"/>
    <w:rsid w:val="002E230C"/>
    <w:rsid w:val="002E4CAE"/>
    <w:rsid w:val="002F2AA4"/>
    <w:rsid w:val="002F2FA5"/>
    <w:rsid w:val="003000AC"/>
    <w:rsid w:val="00302756"/>
    <w:rsid w:val="00303BC2"/>
    <w:rsid w:val="0031686B"/>
    <w:rsid w:val="00325870"/>
    <w:rsid w:val="00332334"/>
    <w:rsid w:val="0033438A"/>
    <w:rsid w:val="003345A6"/>
    <w:rsid w:val="0033775E"/>
    <w:rsid w:val="003439DC"/>
    <w:rsid w:val="00350120"/>
    <w:rsid w:val="0035117E"/>
    <w:rsid w:val="00360511"/>
    <w:rsid w:val="00360AF0"/>
    <w:rsid w:val="0036598D"/>
    <w:rsid w:val="00372BFD"/>
    <w:rsid w:val="00373716"/>
    <w:rsid w:val="00380821"/>
    <w:rsid w:val="00380BE1"/>
    <w:rsid w:val="00381423"/>
    <w:rsid w:val="0038555E"/>
    <w:rsid w:val="00386B79"/>
    <w:rsid w:val="00386DB8"/>
    <w:rsid w:val="003870E2"/>
    <w:rsid w:val="00390668"/>
    <w:rsid w:val="00392211"/>
    <w:rsid w:val="00394018"/>
    <w:rsid w:val="00395BF0"/>
    <w:rsid w:val="00396689"/>
    <w:rsid w:val="003A1564"/>
    <w:rsid w:val="003A3D99"/>
    <w:rsid w:val="003A4C6F"/>
    <w:rsid w:val="003B7A26"/>
    <w:rsid w:val="003C2BA1"/>
    <w:rsid w:val="003C571A"/>
    <w:rsid w:val="003E0A89"/>
    <w:rsid w:val="003E3028"/>
    <w:rsid w:val="003F5EAC"/>
    <w:rsid w:val="0040272F"/>
    <w:rsid w:val="004045CC"/>
    <w:rsid w:val="00405CFB"/>
    <w:rsid w:val="00414429"/>
    <w:rsid w:val="0041710A"/>
    <w:rsid w:val="00420862"/>
    <w:rsid w:val="004300A1"/>
    <w:rsid w:val="0043538D"/>
    <w:rsid w:val="00435DEB"/>
    <w:rsid w:val="00437230"/>
    <w:rsid w:val="004458DB"/>
    <w:rsid w:val="0046204C"/>
    <w:rsid w:val="00462FB9"/>
    <w:rsid w:val="00475638"/>
    <w:rsid w:val="004771D5"/>
    <w:rsid w:val="0049101A"/>
    <w:rsid w:val="0049109E"/>
    <w:rsid w:val="0049213D"/>
    <w:rsid w:val="00492ADD"/>
    <w:rsid w:val="00493ED4"/>
    <w:rsid w:val="00493FAD"/>
    <w:rsid w:val="004B01A5"/>
    <w:rsid w:val="004B063E"/>
    <w:rsid w:val="004B6653"/>
    <w:rsid w:val="004C33E5"/>
    <w:rsid w:val="004C700F"/>
    <w:rsid w:val="004D012B"/>
    <w:rsid w:val="004D0CAF"/>
    <w:rsid w:val="004D5CAD"/>
    <w:rsid w:val="004D671E"/>
    <w:rsid w:val="004E00AB"/>
    <w:rsid w:val="004E2BC9"/>
    <w:rsid w:val="004F437C"/>
    <w:rsid w:val="004F4443"/>
    <w:rsid w:val="004F57A7"/>
    <w:rsid w:val="004F6690"/>
    <w:rsid w:val="004F6AB6"/>
    <w:rsid w:val="00504A80"/>
    <w:rsid w:val="00514D3C"/>
    <w:rsid w:val="00516CCE"/>
    <w:rsid w:val="005251BE"/>
    <w:rsid w:val="00526E02"/>
    <w:rsid w:val="00527DAF"/>
    <w:rsid w:val="00535F3B"/>
    <w:rsid w:val="00546C3E"/>
    <w:rsid w:val="0056641F"/>
    <w:rsid w:val="005715DA"/>
    <w:rsid w:val="00572631"/>
    <w:rsid w:val="00574978"/>
    <w:rsid w:val="00591468"/>
    <w:rsid w:val="00591D9C"/>
    <w:rsid w:val="00595BCB"/>
    <w:rsid w:val="005A1F3F"/>
    <w:rsid w:val="005A45BE"/>
    <w:rsid w:val="005A5AE8"/>
    <w:rsid w:val="005B4FF5"/>
    <w:rsid w:val="005C3D8A"/>
    <w:rsid w:val="005C6651"/>
    <w:rsid w:val="005C7810"/>
    <w:rsid w:val="005E2F56"/>
    <w:rsid w:val="00604D23"/>
    <w:rsid w:val="00606F74"/>
    <w:rsid w:val="0061575E"/>
    <w:rsid w:val="00616AEA"/>
    <w:rsid w:val="00620073"/>
    <w:rsid w:val="00623BD2"/>
    <w:rsid w:val="00632A30"/>
    <w:rsid w:val="00635507"/>
    <w:rsid w:val="00635D2B"/>
    <w:rsid w:val="00635D5D"/>
    <w:rsid w:val="0064290B"/>
    <w:rsid w:val="00644771"/>
    <w:rsid w:val="0064640C"/>
    <w:rsid w:val="00664BEC"/>
    <w:rsid w:val="006650D1"/>
    <w:rsid w:val="00670675"/>
    <w:rsid w:val="00672063"/>
    <w:rsid w:val="0068017A"/>
    <w:rsid w:val="00682C59"/>
    <w:rsid w:val="0068420D"/>
    <w:rsid w:val="006905EF"/>
    <w:rsid w:val="00695A86"/>
    <w:rsid w:val="00695EFB"/>
    <w:rsid w:val="006A61E6"/>
    <w:rsid w:val="006A680B"/>
    <w:rsid w:val="006B5313"/>
    <w:rsid w:val="006C39DE"/>
    <w:rsid w:val="006E172A"/>
    <w:rsid w:val="006E42D7"/>
    <w:rsid w:val="006E7C63"/>
    <w:rsid w:val="006F34A9"/>
    <w:rsid w:val="006F364F"/>
    <w:rsid w:val="00713A5B"/>
    <w:rsid w:val="007142A7"/>
    <w:rsid w:val="00726EAF"/>
    <w:rsid w:val="007335E5"/>
    <w:rsid w:val="007337A1"/>
    <w:rsid w:val="0073615D"/>
    <w:rsid w:val="00746226"/>
    <w:rsid w:val="0075106D"/>
    <w:rsid w:val="007645A3"/>
    <w:rsid w:val="00770C35"/>
    <w:rsid w:val="00773B35"/>
    <w:rsid w:val="00780378"/>
    <w:rsid w:val="0078505E"/>
    <w:rsid w:val="0078624F"/>
    <w:rsid w:val="0079221B"/>
    <w:rsid w:val="00795ED9"/>
    <w:rsid w:val="007A4A85"/>
    <w:rsid w:val="007B460D"/>
    <w:rsid w:val="007C0A7B"/>
    <w:rsid w:val="007C4333"/>
    <w:rsid w:val="007D60D1"/>
    <w:rsid w:val="007E458E"/>
    <w:rsid w:val="007F4DD1"/>
    <w:rsid w:val="0081025B"/>
    <w:rsid w:val="00815085"/>
    <w:rsid w:val="008204F4"/>
    <w:rsid w:val="00821D81"/>
    <w:rsid w:val="0083220D"/>
    <w:rsid w:val="008327E9"/>
    <w:rsid w:val="00840821"/>
    <w:rsid w:val="00844872"/>
    <w:rsid w:val="00845DE4"/>
    <w:rsid w:val="0085159C"/>
    <w:rsid w:val="00852C2E"/>
    <w:rsid w:val="0085625B"/>
    <w:rsid w:val="00862AC8"/>
    <w:rsid w:val="00876C0F"/>
    <w:rsid w:val="00877AAF"/>
    <w:rsid w:val="0088338F"/>
    <w:rsid w:val="00883F1D"/>
    <w:rsid w:val="008A2A60"/>
    <w:rsid w:val="008A2C52"/>
    <w:rsid w:val="008B0EB9"/>
    <w:rsid w:val="008C0E4E"/>
    <w:rsid w:val="008C3740"/>
    <w:rsid w:val="008D2A57"/>
    <w:rsid w:val="008D538F"/>
    <w:rsid w:val="008E184F"/>
    <w:rsid w:val="008E337F"/>
    <w:rsid w:val="008E3A6D"/>
    <w:rsid w:val="008E3BFB"/>
    <w:rsid w:val="008F02B0"/>
    <w:rsid w:val="008F1E1C"/>
    <w:rsid w:val="009058DA"/>
    <w:rsid w:val="009062A4"/>
    <w:rsid w:val="00917A8D"/>
    <w:rsid w:val="009314B7"/>
    <w:rsid w:val="009352A8"/>
    <w:rsid w:val="00936576"/>
    <w:rsid w:val="00943D64"/>
    <w:rsid w:val="00947122"/>
    <w:rsid w:val="00950B4D"/>
    <w:rsid w:val="00953CB2"/>
    <w:rsid w:val="00955ECF"/>
    <w:rsid w:val="009572C0"/>
    <w:rsid w:val="009579FA"/>
    <w:rsid w:val="009613CD"/>
    <w:rsid w:val="009730CC"/>
    <w:rsid w:val="0097310A"/>
    <w:rsid w:val="00975ABA"/>
    <w:rsid w:val="00976DD4"/>
    <w:rsid w:val="009821C2"/>
    <w:rsid w:val="00983EC4"/>
    <w:rsid w:val="009915E0"/>
    <w:rsid w:val="009A3FA9"/>
    <w:rsid w:val="009A4A35"/>
    <w:rsid w:val="009A524C"/>
    <w:rsid w:val="009A62BD"/>
    <w:rsid w:val="009B11FA"/>
    <w:rsid w:val="009B67B0"/>
    <w:rsid w:val="009D3A34"/>
    <w:rsid w:val="009D4E68"/>
    <w:rsid w:val="009E0C7F"/>
    <w:rsid w:val="009E1070"/>
    <w:rsid w:val="009E32D2"/>
    <w:rsid w:val="009E3B3F"/>
    <w:rsid w:val="009E6D42"/>
    <w:rsid w:val="009F5C05"/>
    <w:rsid w:val="009F5D14"/>
    <w:rsid w:val="009F7FD2"/>
    <w:rsid w:val="00A03C74"/>
    <w:rsid w:val="00A0502B"/>
    <w:rsid w:val="00A22727"/>
    <w:rsid w:val="00A25FE2"/>
    <w:rsid w:val="00A30C0F"/>
    <w:rsid w:val="00A349A8"/>
    <w:rsid w:val="00A35A9A"/>
    <w:rsid w:val="00A36373"/>
    <w:rsid w:val="00A41ECB"/>
    <w:rsid w:val="00A46657"/>
    <w:rsid w:val="00A617A8"/>
    <w:rsid w:val="00A63C2A"/>
    <w:rsid w:val="00A64C65"/>
    <w:rsid w:val="00A74B4F"/>
    <w:rsid w:val="00A775E6"/>
    <w:rsid w:val="00A77A8F"/>
    <w:rsid w:val="00A8215D"/>
    <w:rsid w:val="00A84CCC"/>
    <w:rsid w:val="00A84CD6"/>
    <w:rsid w:val="00A85347"/>
    <w:rsid w:val="00A90EF9"/>
    <w:rsid w:val="00A97765"/>
    <w:rsid w:val="00A97D8C"/>
    <w:rsid w:val="00AA281B"/>
    <w:rsid w:val="00AB08A1"/>
    <w:rsid w:val="00AB1008"/>
    <w:rsid w:val="00AB3694"/>
    <w:rsid w:val="00AB41D6"/>
    <w:rsid w:val="00AC7BB4"/>
    <w:rsid w:val="00AD2209"/>
    <w:rsid w:val="00AD5772"/>
    <w:rsid w:val="00AE110D"/>
    <w:rsid w:val="00AF2557"/>
    <w:rsid w:val="00AF576A"/>
    <w:rsid w:val="00AF73EC"/>
    <w:rsid w:val="00B0060C"/>
    <w:rsid w:val="00B04C39"/>
    <w:rsid w:val="00B05E80"/>
    <w:rsid w:val="00B1009D"/>
    <w:rsid w:val="00B125A0"/>
    <w:rsid w:val="00B12E55"/>
    <w:rsid w:val="00B13AAE"/>
    <w:rsid w:val="00B24BB5"/>
    <w:rsid w:val="00B25612"/>
    <w:rsid w:val="00B3738F"/>
    <w:rsid w:val="00B5069D"/>
    <w:rsid w:val="00B517EB"/>
    <w:rsid w:val="00B55E52"/>
    <w:rsid w:val="00B56544"/>
    <w:rsid w:val="00B61EA1"/>
    <w:rsid w:val="00B62E97"/>
    <w:rsid w:val="00B7123B"/>
    <w:rsid w:val="00B71DB0"/>
    <w:rsid w:val="00B732AD"/>
    <w:rsid w:val="00B73917"/>
    <w:rsid w:val="00B9536A"/>
    <w:rsid w:val="00B96788"/>
    <w:rsid w:val="00BA0371"/>
    <w:rsid w:val="00BA3C97"/>
    <w:rsid w:val="00BA662B"/>
    <w:rsid w:val="00BA78EB"/>
    <w:rsid w:val="00BB6BAE"/>
    <w:rsid w:val="00BC0BA9"/>
    <w:rsid w:val="00BD6F4E"/>
    <w:rsid w:val="00BF0E1D"/>
    <w:rsid w:val="00BF42D9"/>
    <w:rsid w:val="00C0290E"/>
    <w:rsid w:val="00C05FF5"/>
    <w:rsid w:val="00C1747E"/>
    <w:rsid w:val="00C21BD3"/>
    <w:rsid w:val="00C21F73"/>
    <w:rsid w:val="00C27B7D"/>
    <w:rsid w:val="00C40A90"/>
    <w:rsid w:val="00C448B4"/>
    <w:rsid w:val="00C501B9"/>
    <w:rsid w:val="00C627E7"/>
    <w:rsid w:val="00C84AFF"/>
    <w:rsid w:val="00C8577A"/>
    <w:rsid w:val="00C87BC2"/>
    <w:rsid w:val="00C94B47"/>
    <w:rsid w:val="00C961B9"/>
    <w:rsid w:val="00CA4AF1"/>
    <w:rsid w:val="00CB12D5"/>
    <w:rsid w:val="00CB2BF3"/>
    <w:rsid w:val="00CB3461"/>
    <w:rsid w:val="00CB70A0"/>
    <w:rsid w:val="00CC27DA"/>
    <w:rsid w:val="00CC2DFE"/>
    <w:rsid w:val="00CC2E4B"/>
    <w:rsid w:val="00CC3920"/>
    <w:rsid w:val="00CD5F95"/>
    <w:rsid w:val="00CD66A2"/>
    <w:rsid w:val="00CE1CE9"/>
    <w:rsid w:val="00CE7920"/>
    <w:rsid w:val="00CF270B"/>
    <w:rsid w:val="00D00482"/>
    <w:rsid w:val="00D01D90"/>
    <w:rsid w:val="00D02F67"/>
    <w:rsid w:val="00D115A1"/>
    <w:rsid w:val="00D173C7"/>
    <w:rsid w:val="00D17408"/>
    <w:rsid w:val="00D239AE"/>
    <w:rsid w:val="00D26F5A"/>
    <w:rsid w:val="00D32EBA"/>
    <w:rsid w:val="00D34734"/>
    <w:rsid w:val="00D411BE"/>
    <w:rsid w:val="00D43A1F"/>
    <w:rsid w:val="00D53AA0"/>
    <w:rsid w:val="00D545BA"/>
    <w:rsid w:val="00D547A3"/>
    <w:rsid w:val="00D55D34"/>
    <w:rsid w:val="00D56001"/>
    <w:rsid w:val="00D56828"/>
    <w:rsid w:val="00D61E2A"/>
    <w:rsid w:val="00D6548C"/>
    <w:rsid w:val="00D66E95"/>
    <w:rsid w:val="00D74814"/>
    <w:rsid w:val="00D74A91"/>
    <w:rsid w:val="00D94736"/>
    <w:rsid w:val="00D949AF"/>
    <w:rsid w:val="00DA7410"/>
    <w:rsid w:val="00DB439B"/>
    <w:rsid w:val="00DC258B"/>
    <w:rsid w:val="00DC282F"/>
    <w:rsid w:val="00DC5F9D"/>
    <w:rsid w:val="00DD15C2"/>
    <w:rsid w:val="00DD2F0F"/>
    <w:rsid w:val="00DD6B70"/>
    <w:rsid w:val="00DD7216"/>
    <w:rsid w:val="00DE13C0"/>
    <w:rsid w:val="00DE1A68"/>
    <w:rsid w:val="00DE2318"/>
    <w:rsid w:val="00DE4930"/>
    <w:rsid w:val="00DE52E3"/>
    <w:rsid w:val="00DF44E2"/>
    <w:rsid w:val="00E02F71"/>
    <w:rsid w:val="00E05F6A"/>
    <w:rsid w:val="00E069D1"/>
    <w:rsid w:val="00E120A1"/>
    <w:rsid w:val="00E16304"/>
    <w:rsid w:val="00E17E61"/>
    <w:rsid w:val="00E21C1D"/>
    <w:rsid w:val="00E242C7"/>
    <w:rsid w:val="00E24D2C"/>
    <w:rsid w:val="00E25BD9"/>
    <w:rsid w:val="00E32571"/>
    <w:rsid w:val="00E34502"/>
    <w:rsid w:val="00E4570E"/>
    <w:rsid w:val="00E46F2A"/>
    <w:rsid w:val="00E46FFB"/>
    <w:rsid w:val="00E50967"/>
    <w:rsid w:val="00E511B2"/>
    <w:rsid w:val="00E523BB"/>
    <w:rsid w:val="00E63ED5"/>
    <w:rsid w:val="00E746E3"/>
    <w:rsid w:val="00E8543B"/>
    <w:rsid w:val="00E92278"/>
    <w:rsid w:val="00E92338"/>
    <w:rsid w:val="00EA0BAA"/>
    <w:rsid w:val="00EA0CDE"/>
    <w:rsid w:val="00EB4E34"/>
    <w:rsid w:val="00EB5AAC"/>
    <w:rsid w:val="00EB66E5"/>
    <w:rsid w:val="00ED333C"/>
    <w:rsid w:val="00ED5A63"/>
    <w:rsid w:val="00EE7413"/>
    <w:rsid w:val="00EF1169"/>
    <w:rsid w:val="00EF544D"/>
    <w:rsid w:val="00EF7043"/>
    <w:rsid w:val="00EF7D32"/>
    <w:rsid w:val="00F00E3D"/>
    <w:rsid w:val="00F01C0F"/>
    <w:rsid w:val="00F026CF"/>
    <w:rsid w:val="00F027BA"/>
    <w:rsid w:val="00F153AC"/>
    <w:rsid w:val="00F31F78"/>
    <w:rsid w:val="00F365E0"/>
    <w:rsid w:val="00F375C5"/>
    <w:rsid w:val="00F3766B"/>
    <w:rsid w:val="00F46ED7"/>
    <w:rsid w:val="00F554ED"/>
    <w:rsid w:val="00F57DC1"/>
    <w:rsid w:val="00F6161A"/>
    <w:rsid w:val="00F670F5"/>
    <w:rsid w:val="00F72A38"/>
    <w:rsid w:val="00F80A7C"/>
    <w:rsid w:val="00F818FE"/>
    <w:rsid w:val="00F826E3"/>
    <w:rsid w:val="00F85414"/>
    <w:rsid w:val="00F96ECC"/>
    <w:rsid w:val="00FA0989"/>
    <w:rsid w:val="00FA1D69"/>
    <w:rsid w:val="00FB0831"/>
    <w:rsid w:val="00FB1EA5"/>
    <w:rsid w:val="00FB2DCA"/>
    <w:rsid w:val="00FB6163"/>
    <w:rsid w:val="00FC5234"/>
    <w:rsid w:val="00FC78A7"/>
    <w:rsid w:val="00FD06B8"/>
    <w:rsid w:val="00FD3DB9"/>
    <w:rsid w:val="00FE0FED"/>
    <w:rsid w:val="00FE59D1"/>
    <w:rsid w:val="00FE716C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3D3C9"/>
  <w15:chartTrackingRefBased/>
  <w15:docId w15:val="{E79B3119-2EE3-479D-9D49-E5D06C47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309"/>
  </w:style>
  <w:style w:type="paragraph" w:styleId="Heading1">
    <w:name w:val="heading 1"/>
    <w:basedOn w:val="Normal"/>
    <w:next w:val="Normal"/>
    <w:link w:val="Heading1Char"/>
    <w:uiPriority w:val="9"/>
    <w:qFormat/>
    <w:rsid w:val="0077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0C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5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5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3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C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53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53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5D6"/>
  </w:style>
  <w:style w:type="paragraph" w:styleId="Footer">
    <w:name w:val="footer"/>
    <w:basedOn w:val="Normal"/>
    <w:link w:val="FooterChar"/>
    <w:uiPriority w:val="99"/>
    <w:unhideWhenUsed/>
    <w:rsid w:val="002A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5D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4A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473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5C3D8A"/>
  </w:style>
  <w:style w:type="character" w:styleId="FollowedHyperlink">
    <w:name w:val="FollowedHyperlink"/>
    <w:basedOn w:val="DefaultParagraphFont"/>
    <w:uiPriority w:val="99"/>
    <w:semiHidden/>
    <w:unhideWhenUsed/>
    <w:rsid w:val="005C3D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2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2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E11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D721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57C3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347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47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2.ed.gov/about/inits/ed/edfacts/file-specifications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DFacts@ed.gov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ces.ed.gov/ccd/online_documentation.as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ces.ed.gov/blogs/nces/2021/01/04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21A7242F9CD49BD1E05495CEFC5E9" ma:contentTypeVersion="39" ma:contentTypeDescription="Create a new document." ma:contentTypeScope="" ma:versionID="c3e24bf7aafe855da359270fb3175a4e">
  <xsd:schema xmlns:xsd="http://www.w3.org/2001/XMLSchema" xmlns:xs="http://www.w3.org/2001/XMLSchema" xmlns:p="http://schemas.microsoft.com/office/2006/metadata/properties" xmlns:ns1="http://schemas.microsoft.com/sharepoint/v3" xmlns:ns2="292db1e8-b3d0-4356-8ef3-2a6d7ed77883" xmlns:ns3="4f36bac4-6705-4a36-974b-7c07450fedf2" targetNamespace="http://schemas.microsoft.com/office/2006/metadata/properties" ma:root="true" ma:fieldsID="dcf66c8206fc74f4d79f0ec460abc3a7" ns1:_="" ns2:_="" ns3:_="">
    <xsd:import namespace="http://schemas.microsoft.com/sharepoint/v3"/>
    <xsd:import namespace="292db1e8-b3d0-4356-8ef3-2a6d7ed77883"/>
    <xsd:import namespace="4f36bac4-6705-4a36-974b-7c07450fedf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RoutingTargetFolder" minOccurs="0"/>
                <xsd:element ref="ns2:Document_x0020_Purpos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outingTargetFolder" ma:index="6" nillable="true" ma:displayName="Target Folder" ma:description="" ma:hidden="true" ma:internalName="RoutingTargetFolder" ma:readOnly="false">
      <xsd:simpleType>
        <xsd:restriction base="dms:Text">
          <xsd:maxLength value="255"/>
        </xsd:restriction>
      </xsd:simpleType>
    </xsd:element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db1e8-b3d0-4356-8ef3-2a6d7ed77883" elementFormDefault="qualified">
    <xsd:import namespace="http://schemas.microsoft.com/office/2006/documentManagement/types"/>
    <xsd:import namespace="http://schemas.microsoft.com/office/infopath/2007/PartnerControls"/>
    <xsd:element name="Document_x0020_Purpose" ma:index="7" nillable="true" ma:displayName="Document Notes" ma:internalName="Document_x0020_Purpose" ma:readOnly="false">
      <xsd:simpleType>
        <xsd:restriction base="dms:Text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6bac4-6705-4a36-974b-7c07450fed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bcfb947-9aca-4507-8ac0-df076e40e05b}" ma:internalName="TaxCatchAll" ma:showField="CatchAllData" ma:web="4f36bac4-6705-4a36-974b-7c07450fed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outingTargetFolder xmlns="http://schemas.microsoft.com/sharepoint/v3" xsi:nil="true"/>
    <Document_x0020_Purpose xmlns="292db1e8-b3d0-4356-8ef3-2a6d7ed77883" xsi:nil="true"/>
    <TaxCatchAll xmlns="4f36bac4-6705-4a36-974b-7c07450fedf2" xsi:nil="true"/>
    <lcf76f155ced4ddcb4097134ff3c332f xmlns="292db1e8-b3d0-4356-8ef3-2a6d7ed77883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A746EE-1FE5-4874-BEB8-F5D7FA186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5A6103-D1BE-4E4D-A023-F0BE4AD6F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2db1e8-b3d0-4356-8ef3-2a6d7ed77883"/>
    <ds:schemaRef ds:uri="4f36bac4-6705-4a36-974b-7c07450fe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75EFA5-1CE7-4E85-819F-288202893C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168627-F605-46D5-9CC4-28BDE9F81B17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292db1e8-b3d0-4356-8ef3-2a6d7ed77883"/>
    <ds:schemaRef ds:uri="http://schemas.microsoft.com/office/2006/documentManagement/types"/>
    <ds:schemaRef ds:uri="http://schemas.openxmlformats.org/package/2006/metadata/core-properties"/>
    <ds:schemaRef ds:uri="4f36bac4-6705-4a36-974b-7c07450fedf2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Sinclair</dc:creator>
  <cp:keywords/>
  <dc:description/>
  <cp:lastModifiedBy>Chen, Chen-Su</cp:lastModifiedBy>
  <cp:revision>81</cp:revision>
  <dcterms:created xsi:type="dcterms:W3CDTF">2021-12-07T13:29:00Z</dcterms:created>
  <dcterms:modified xsi:type="dcterms:W3CDTF">2024-06-21T22:31:00Z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0x01010000721A7242F9CD49BD1E05495CEFC5E9</vt:lpwstr>
  </property>
  <property fmtid="{D5CDD505-2E9C-101B-9397-08002B2CF9AE}" pid="3" name="_dlc_DocIdItemGuid">
    <vt:lpwstr>f67a80b3-3af9-4657-9eb7-62f9a101cc00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WorkflowName">
    <vt:lpwstr/>
  </property>
  <property fmtid="{D5CDD505-2E9C-101B-9397-08002B2CF9AE}" pid="8" name="AssignedTo">
    <vt:lpwstr/>
  </property>
  <property fmtid="{D5CDD505-2E9C-101B-9397-08002B2CF9AE}" pid="9" name="MediaServiceImageTags">
    <vt:lpwstr/>
  </property>
  <property fmtid="{D5CDD505-2E9C-101B-9397-08002B2CF9AE}" pid="10" name="Document Notes">
    <vt:lpwstr/>
  </property>
  <property fmtid="{D5CDD505-2E9C-101B-9397-08002B2CF9AE}" pid="11" name="Priority">
    <vt:lpwstr/>
  </property>
  <property fmtid="{D5CDD505-2E9C-101B-9397-08002B2CF9AE}" pid="12" name="Predecessors">
    <vt:lpwstr/>
  </property>
  <property fmtid="{D5CDD505-2E9C-101B-9397-08002B2CF9AE}" pid="13" name="Document Notes0">
    <vt:lpwstr/>
  </property>
  <property fmtid="{D5CDD505-2E9C-101B-9397-08002B2CF9AE}" pid="14" name="Body">
    <vt:lpwstr/>
  </property>
  <property fmtid="{D5CDD505-2E9C-101B-9397-08002B2CF9AE}" pid="15" name="TaskStatus">
    <vt:lpwstr/>
  </property>
</Properties>
</file>