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center"/>
        <w:rPr>
          <w:rFonts w:hint="default" w:ascii="微软雅黑" w:hAnsi="微软雅黑" w:eastAsia="微软雅黑" w:cs="微软雅黑"/>
          <w:b/>
          <w:bCs/>
          <w:color w:val="00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52"/>
          <w:szCs w:val="52"/>
          <w:lang w:val="en-US" w:eastAsia="zh-CN"/>
        </w:rPr>
        <w:t>显卡驱动管理器</w:t>
      </w:r>
    </w:p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52"/>
          <w:szCs w:val="52"/>
          <w:lang w:eastAsia="zh-CN"/>
        </w:rPr>
        <w:t>需求说明</w:t>
      </w:r>
    </w:p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center"/>
        <w:rPr>
          <w:rFonts w:hint="eastAsia" w:ascii="微软雅黑" w:hAnsi="微软雅黑" w:eastAsia="微软雅黑" w:cs="微软雅黑"/>
          <w:b/>
          <w:bCs/>
          <w:color w:val="000000"/>
          <w:sz w:val="52"/>
          <w:szCs w:val="5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52"/>
          <w:szCs w:val="52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52"/>
          <w:szCs w:val="52"/>
          <w:lang w:val="en-US" w:eastAsia="zh-CN"/>
        </w:rPr>
        <w:t>1040</w:t>
      </w:r>
      <w:r>
        <w:rPr>
          <w:rFonts w:hint="eastAsia" w:ascii="微软雅黑" w:hAnsi="微软雅黑" w:eastAsia="微软雅黑" w:cs="微软雅黑"/>
          <w:b/>
          <w:bCs/>
          <w:color w:val="000000"/>
          <w:sz w:val="52"/>
          <w:szCs w:val="52"/>
          <w:lang w:eastAsia="zh-CN"/>
        </w:rPr>
        <w:t>）</w:t>
      </w:r>
    </w:p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</w:t>
      </w:r>
    </w:p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</w:t>
      </w:r>
    </w:p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</w:t>
      </w:r>
    </w:p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</w:t>
      </w:r>
    </w:p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auto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1416685</wp:posOffset>
            </wp:positionH>
            <wp:positionV relativeFrom="paragraph">
              <wp:posOffset>154940</wp:posOffset>
            </wp:positionV>
            <wp:extent cx="2401570" cy="779145"/>
            <wp:effectExtent l="0" t="0" r="17780" b="1905"/>
            <wp:wrapTopAndBottom/>
            <wp:docPr id="1" name="图片 1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统信软件技术有限公司</w:t>
      </w:r>
    </w:p>
    <w:p>
      <w:pPr>
        <w:pStyle w:val="11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360" w:lineRule="auto"/>
        <w:jc w:val="both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 </w:t>
      </w:r>
    </w:p>
    <w:tbl>
      <w:tblPr>
        <w:tblStyle w:val="12"/>
        <w:tblW w:w="0" w:type="auto"/>
        <w:jc w:val="center"/>
        <w:tblCellSpacing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762"/>
        <w:gridCol w:w="1400"/>
        <w:gridCol w:w="2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7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XKQD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927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36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7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2020年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30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1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密级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内部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  <w:jc w:val="center"/>
        </w:trPr>
        <w:tc>
          <w:tcPr>
            <w:tcW w:w="15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360" w:lineRule="auto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使用范围</w:t>
            </w:r>
          </w:p>
        </w:tc>
        <w:tc>
          <w:tcPr>
            <w:tcW w:w="70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360" w:lineRule="auto"/>
              <w:jc w:val="center"/>
              <w:rPr>
                <w:rFonts w:hint="default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产品部</w:t>
            </w:r>
          </w:p>
        </w:tc>
      </w:tr>
    </w:tbl>
    <w:p>
      <w:pPr>
        <w:pStyle w:val="14"/>
        <w:spacing w:line="360" w:lineRule="auto"/>
        <w:ind w:firstLine="660" w:firstLineChars="300"/>
        <w:jc w:val="left"/>
        <w:rPr>
          <w:b w:val="0"/>
          <w:bCs/>
          <w:sz w:val="16"/>
          <w:szCs w:val="16"/>
        </w:rPr>
      </w:pPr>
      <w:r>
        <w:rPr>
          <w:rFonts w:hint="eastAsia"/>
          <w:b w:val="0"/>
          <w:bCs/>
          <w:sz w:val="22"/>
          <w:szCs w:val="22"/>
          <w:lang w:eastAsia="zh-CN"/>
        </w:rPr>
        <w:t>修改</w:t>
      </w:r>
      <w:r>
        <w:rPr>
          <w:b w:val="0"/>
          <w:bCs/>
          <w:sz w:val="22"/>
          <w:szCs w:val="22"/>
        </w:rPr>
        <w:t>记录</w:t>
      </w:r>
    </w:p>
    <w:tbl>
      <w:tblPr>
        <w:tblStyle w:val="12"/>
        <w:tblW w:w="8253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7"/>
        <w:gridCol w:w="1179"/>
        <w:gridCol w:w="2934"/>
        <w:gridCol w:w="206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077" w:type="dxa"/>
            <w:shd w:val="clear" w:color="auto" w:fill="0C52A4"/>
            <w:vAlign w:val="center"/>
          </w:tcPr>
          <w:p>
            <w:pPr>
              <w:spacing w:line="360" w:lineRule="auto"/>
              <w:jc w:val="left"/>
            </w:pPr>
            <w:r>
              <w:rPr>
                <w:b/>
                <w:color w:val="FFFFFF"/>
              </w:rPr>
              <w:t>时间</w:t>
            </w:r>
          </w:p>
        </w:tc>
        <w:tc>
          <w:tcPr>
            <w:tcW w:w="1179" w:type="dxa"/>
            <w:shd w:val="clear" w:color="auto" w:fill="0C52A4"/>
            <w:vAlign w:val="center"/>
          </w:tcPr>
          <w:p>
            <w:pPr>
              <w:spacing w:line="360" w:lineRule="auto"/>
              <w:jc w:val="left"/>
            </w:pPr>
            <w:r>
              <w:rPr>
                <w:b/>
                <w:color w:val="FFFFFF"/>
              </w:rPr>
              <w:t>版本</w:t>
            </w:r>
          </w:p>
        </w:tc>
        <w:tc>
          <w:tcPr>
            <w:tcW w:w="2934" w:type="dxa"/>
            <w:shd w:val="clear" w:color="auto" w:fill="0C52A4"/>
            <w:vAlign w:val="center"/>
          </w:tcPr>
          <w:p>
            <w:pPr>
              <w:spacing w:line="360" w:lineRule="auto"/>
              <w:jc w:val="left"/>
            </w:pPr>
            <w:r>
              <w:rPr>
                <w:b/>
                <w:color w:val="FFFFFF"/>
              </w:rPr>
              <w:t>说明</w:t>
            </w:r>
          </w:p>
        </w:tc>
        <w:tc>
          <w:tcPr>
            <w:tcW w:w="2063" w:type="dxa"/>
            <w:shd w:val="clear" w:color="auto" w:fill="0C52A4"/>
            <w:vAlign w:val="center"/>
          </w:tcPr>
          <w:p>
            <w:pPr>
              <w:spacing w:line="360" w:lineRule="auto"/>
              <w:jc w:val="left"/>
            </w:pPr>
            <w:r>
              <w:rPr>
                <w:b/>
                <w:color w:val="FFFFFF"/>
              </w:rPr>
              <w:t>修改人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  <w:jc w:val="center"/>
        </w:trPr>
        <w:tc>
          <w:tcPr>
            <w:tcW w:w="2077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color w:val="000000"/>
              </w:rPr>
              <w:t>2020/</w:t>
            </w:r>
            <w:r>
              <w:rPr>
                <w:rFonts w:hint="eastAsia"/>
                <w:color w:val="000000"/>
                <w:lang w:val="en-US" w:eastAsia="zh-CN"/>
              </w:rPr>
              <w:t>9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1179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</w:pPr>
            <w:r>
              <w:rPr>
                <w:color w:val="000000"/>
              </w:rPr>
              <w:t>1.0</w:t>
            </w:r>
          </w:p>
        </w:tc>
        <w:tc>
          <w:tcPr>
            <w:tcW w:w="2934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</w:pPr>
            <w:r>
              <w:rPr>
                <w:color w:val="000000"/>
              </w:rPr>
              <w:t>创建</w:t>
            </w:r>
          </w:p>
        </w:tc>
        <w:tc>
          <w:tcPr>
            <w:tcW w:w="2063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程方园</w:t>
            </w:r>
          </w:p>
        </w:tc>
      </w:tr>
    </w:tbl>
    <w:p/>
    <w:p/>
    <w:p/>
    <w:p/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产品概述</w:t>
      </w:r>
    </w:p>
    <w:p>
      <w:pPr>
        <w:pStyle w:val="3"/>
      </w:pPr>
      <w:r>
        <w:rPr>
          <w:rFonts w:hint="eastAsia"/>
          <w:lang w:val="en-US" w:eastAsia="zh-CN"/>
        </w:rPr>
        <w:t>产品背景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随着</w:t>
      </w:r>
      <w:r>
        <w:rPr>
          <w:rFonts w:hint="eastAsia"/>
          <w:lang w:val="en-US" w:eastAsia="zh-CN"/>
        </w:rPr>
        <w:t>UOS</w:t>
      </w:r>
      <w:r>
        <w:rPr>
          <w:rFonts w:hint="eastAsia"/>
        </w:rPr>
        <w:t>系统的发展和市场的推广，各方对系统的</w:t>
      </w:r>
      <w:r>
        <w:rPr>
          <w:rFonts w:hint="eastAsia"/>
          <w:lang w:val="en-US" w:eastAsia="zh-CN"/>
        </w:rPr>
        <w:t>显卡管理</w:t>
      </w:r>
      <w:r>
        <w:rPr>
          <w:rFonts w:hint="eastAsia"/>
        </w:rPr>
        <w:t>有了越来越多的关注和要求。因此需要通过“</w:t>
      </w:r>
      <w:r>
        <w:rPr>
          <w:rFonts w:hint="eastAsia"/>
          <w:lang w:val="en-US" w:eastAsia="zh-CN"/>
        </w:rPr>
        <w:t>显卡驱动管理器</w:t>
      </w:r>
      <w:r>
        <w:rPr>
          <w:rFonts w:hint="eastAsia"/>
        </w:rPr>
        <w:t>”</w:t>
      </w:r>
      <w:r>
        <w:rPr>
          <w:rFonts w:hint="eastAsia"/>
          <w:lang w:val="en-US" w:eastAsia="zh-CN"/>
        </w:rPr>
        <w:t>实现UOS系统显卡的管理功能。</w:t>
      </w:r>
      <w:r>
        <w:rPr>
          <w:rFonts w:hint="eastAsia"/>
        </w:rPr>
        <w:t>截止到1030阶段，</w:t>
      </w:r>
      <w:r>
        <w:rPr>
          <w:rFonts w:hint="eastAsia"/>
          <w:lang w:val="en-US" w:eastAsia="zh-CN"/>
        </w:rPr>
        <w:t>显卡驱动管理器实现了对N卡的管理切换，台式机、笔记本分别实现了显卡类型切换的基本功能</w:t>
      </w:r>
      <w:r>
        <w:rPr>
          <w:rFonts w:hint="eastAsia"/>
        </w:rPr>
        <w:t>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通过技术</w:t>
      </w:r>
      <w:r>
        <w:rPr>
          <w:rFonts w:hint="eastAsia"/>
        </w:rPr>
        <w:t>调研及</w:t>
      </w:r>
      <w:r>
        <w:rPr>
          <w:rFonts w:hint="eastAsia"/>
          <w:lang w:val="en-US" w:eastAsia="zh-CN"/>
        </w:rPr>
        <w:t>产品</w:t>
      </w:r>
      <w:r>
        <w:rPr>
          <w:rFonts w:hint="eastAsia"/>
        </w:rPr>
        <w:t>需求，当前</w:t>
      </w:r>
      <w:r>
        <w:rPr>
          <w:rFonts w:hint="eastAsia"/>
          <w:lang w:val="en-US" w:eastAsia="zh-CN"/>
        </w:rPr>
        <w:t>显卡驱动管理器</w:t>
      </w:r>
      <w:r>
        <w:rPr>
          <w:rFonts w:hint="eastAsia"/>
        </w:rPr>
        <w:t>需要进一步完善，提升</w:t>
      </w:r>
      <w:r>
        <w:rPr>
          <w:rFonts w:hint="eastAsia"/>
          <w:lang w:val="en-US" w:eastAsia="zh-CN"/>
        </w:rPr>
        <w:t>显卡驱动管理器的易用性和使用价值。</w:t>
      </w:r>
    </w:p>
    <w:p>
      <w:pPr>
        <w:pStyle w:val="3"/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显卡驱动管理器</w:t>
      </w:r>
      <w:r>
        <w:rPr>
          <w:rFonts w:hint="eastAsia"/>
        </w:rPr>
        <w:t>整体目标是</w:t>
      </w:r>
      <w:r>
        <w:rPr>
          <w:rFonts w:hint="eastAsia"/>
          <w:lang w:val="en-US" w:eastAsia="zh-CN"/>
        </w:rPr>
        <w:t>帮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做好显卡驱动的切换管理及驱动更新，为用户提供更丰富的显卡使用场景，优化显卡的能力支撑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显卡驱动管理器</w:t>
      </w:r>
      <w:r>
        <w:rPr>
          <w:rFonts w:hint="eastAsia"/>
        </w:rPr>
        <w:t>1040</w:t>
      </w:r>
      <w:r>
        <w:rPr>
          <w:rFonts w:hint="eastAsia"/>
          <w:lang w:val="en-US" w:eastAsia="zh-CN"/>
        </w:rPr>
        <w:t>需求</w:t>
      </w:r>
      <w:r>
        <w:rPr>
          <w:rFonts w:hint="eastAsia"/>
        </w:rPr>
        <w:t>规划主要目标如下：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N卡台式机，能通过硬件接口自动判断显卡类型，推荐对应的驱动类型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N卡笔记本，提供性能模式、节能模式及默认模式切换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A卡电脑（笔记本、台式机一样），提供AMDGPU及Radeon两种模式，并在合适场景下判断显卡类型可以进行切换。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当显卡切换下载的时候，提供取消回退场景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当切换失败的时候，可以回退到上一个最近的显卡驱动类型。</w:t>
      </w:r>
    </w:p>
    <w:p>
      <w:pPr>
        <w:pStyle w:val="3"/>
        <w:rPr>
          <w:rFonts w:hint="eastAsia"/>
          <w:b/>
          <w:bCs/>
        </w:rPr>
      </w:pPr>
      <w:r>
        <w:rPr>
          <w:rFonts w:hint="eastAsia"/>
          <w:lang w:val="en-US" w:eastAsia="zh-CN"/>
        </w:rPr>
        <w:t>验收指标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显卡切换选择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台式机提供三种切换逻辑，默认驱动、官方驱动、非官方驱动，笔记本电脑提供集显驱动场景、独显驱动场景及集显驱动+自动推荐切换场景，其中自动推荐里包含了节能模式、性能模式的两种选择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切换过程：提供取消下载切换、稍候重启功能，给用户有回退或缓冲的时间，而非只有一种只有往前走流程的选择。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台式机要判断根据插入的接口类型，自动判断当前接口是集显还是独显，同时系统自动按照当前的接口类型推荐显卡模式，并给文案提示，如果要切换显卡接口，可能会导致屏幕黑屏。</w:t>
      </w:r>
    </w:p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功能需求概要</w:t>
      </w:r>
    </w:p>
    <w:p>
      <w:pPr>
        <w:pStyle w:val="3"/>
        <w:rPr>
          <w:rFonts w:hint="eastAsia" w:ascii="Arial" w:hAnsi="Arial" w:eastAsia="宋体" w:cs="Times New Roman"/>
          <w:b/>
          <w:kern w:val="2"/>
          <w:sz w:val="30"/>
          <w:szCs w:val="24"/>
          <w:lang w:val="en-US" w:eastAsia="zh-CN" w:bidi="ar-SA"/>
        </w:rPr>
      </w:pPr>
      <w:r>
        <w:rPr>
          <w:rFonts w:hint="eastAsia" w:eastAsia="宋体" w:cs="Times New Roman"/>
          <w:b/>
          <w:kern w:val="2"/>
          <w:sz w:val="30"/>
          <w:szCs w:val="24"/>
          <w:lang w:val="en-US" w:eastAsia="zh-CN" w:bidi="ar-SA"/>
        </w:rPr>
        <w:t>功能结构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1648460"/>
            <wp:effectExtent l="0" t="0" r="12700" b="8890"/>
            <wp:docPr id="10" name="图片 10" descr="显卡驱动管理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显卡驱动管理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N卡驱动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台式电脑</w:t>
      </w:r>
    </w:p>
    <w:p>
      <w:r>
        <w:drawing>
          <wp:inline distT="0" distB="0" distL="114300" distR="114300">
            <wp:extent cx="4505325" cy="63341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514850" cy="641032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台式电脑N卡驱动，提供三种驱动模式，分别为默认驱动、官方驱动和非官方驱动。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驱动只能单选某一个，且插入机箱的接口来判断当前接口类型接的是集显或独显，推荐对应驱动类型。如果接入的是集显接口，那么只显示默认驱动，不显示官方、非官方驱动。如果接入的是独显接口，那么显示官方、非官方驱动，不显示默认驱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驱动名称、版本显示仓库推送的最新驱动，如这里的驱动版本比正在使用版本要高，在版本后后面显示“有更新”字样，点击“有更新”切换到下载页面，类似切换驱动页面。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默认驱动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驱动是自动检测当前环境没有NVIDIA相关驱动，NVIDIA显卡不会正常工作。如果要切换独立显卡驱动，下方给文案提示“当前接入的是集成显卡接口，如果您要切换到独立显卡接口，可能会导致屏幕出现黑屏现象”。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官方驱动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官方驱动</w:t>
      </w:r>
      <w:r>
        <w:rPr>
          <w:rFonts w:hint="default"/>
          <w:lang w:val="en-US" w:eastAsia="zh-CN"/>
        </w:rPr>
        <w:t>适配了部分发行版和部分显卡，可能出现版本不兼容、显卡不支持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而导致黑屏。</w:t>
      </w:r>
      <w:r>
        <w:rPr>
          <w:rFonts w:hint="eastAsia"/>
          <w:lang w:val="en-US" w:eastAsia="zh-CN"/>
        </w:rPr>
        <w:t>但是兼容的驱动稳定性相对较好。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当前接入的是独立显卡接口，如果要切换到集成显卡接口，可能会导致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屏幕出现黑屏现象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非官方驱动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非官方驱动性能较弱，属于开源驱动，在部分显卡上可能不稳定。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当前接入的是独立显卡接口，如果要切换到集成显卡接口，可能会导致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屏幕出现黑屏现象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当选择某个驱动，点击确定。进入切换下载页面，提供下载进度的百分比和取消下载功能。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当下载成功，需要重启电脑生效的时候。提供稍候重启功能。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当切换驱动失败</w:t>
      </w:r>
      <w:r>
        <w:rPr>
          <w:rFonts w:hint="eastAsia"/>
          <w:lang w:val="en-US" w:eastAsia="zh-CN"/>
        </w:rPr>
        <w:t>或重启后取消授权生效</w:t>
      </w:r>
      <w:r>
        <w:rPr>
          <w:rFonts w:hint="default"/>
          <w:lang w:val="en-US" w:eastAsia="zh-CN"/>
        </w:rPr>
        <w:t>的时候，自动回退到切换之前的驱动模式。</w:t>
      </w:r>
    </w:p>
    <w:p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br w:type="page"/>
      </w:r>
    </w:p>
    <w:p>
      <w:pPr>
        <w:pStyle w:val="4"/>
        <w:bidi w:val="0"/>
      </w:pPr>
      <w:r>
        <w:rPr>
          <w:rFonts w:hint="eastAsia" w:cs="Times New Roman"/>
          <w:b/>
          <w:kern w:val="2"/>
          <w:sz w:val="28"/>
          <w:szCs w:val="24"/>
          <w:lang w:val="en-US" w:eastAsia="zh-CN" w:bidi="ar-SA"/>
        </w:rPr>
        <w:t>笔记本电脑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笔记本电脑显卡驱动总体有三种模式，单独使用集成显卡模式、单独使用独立显卡模式、使用集成显卡以及方案切换的模式。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集显驱动：为笔记本CPU自带驱动；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独显驱动：为笔记本N卡驱动，分为官方驱动（闭源）和非官方驱动（开源）；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自动推荐：提供性能模式和节能模式的两种切换方案，针对使用场景自动优化显卡使用能力。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只有集成显卡场景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95800" cy="64198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当笔记本只有集成显卡的时候，自动判断且只显示集成显卡驱动、名称；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单独用独立显卡场景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86275" cy="64103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当用户手动关闭集成显卡的时候，激活只单独使用独立显卡。此时自动判断，只显示独立显卡驱动的选项。提供官方驱动和非官方驱动，并推送仓库最新的驱动给用户选择。展示驱动名称、驱动版本号。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双显卡场景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05325" cy="6410325"/>
            <wp:effectExtent l="0" t="0" r="952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当笔记本是双显卡的情况下，提供集成显卡、节能模式以及性能模式的切换选择。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集显驱动即CPU自带显卡驱动，与节能模式、性能模式进行切换使用。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节能模式，通过技术优化，节省电脑资源，提升使用续航，也称为大黄蜂方案。选中节能模式，点击确定自动进入切换页面下载驱动；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性能模式，通过技术优化，提升系统运行性能，也成为Prime方案。选中性能模式，点击确定自动进入切换页面下载驱动；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（4）其他说明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各种模式下显示的驱动名称、驱动版本</w:t>
      </w:r>
      <w:bookmarkStart w:id="0" w:name="_GoBack"/>
      <w:bookmarkEnd w:id="0"/>
      <w:r>
        <w:rPr>
          <w:rFonts w:hint="eastAsia"/>
          <w:lang w:val="en-US" w:eastAsia="zh-CN"/>
        </w:rPr>
        <w:t>，为仓库推送的最新版本。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当切换驱动失败或重启后取消授权生效的时候，自动回退到切换之前的驱动。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当选择某个驱动，点击确定。进入切换下载页面，提供下载进度的百分比和取消下载功能。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当下载成功，需要重启电脑生效的时候。提供稍候重启功能。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6275" cy="6381750"/>
            <wp:effectExtent l="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33900" cy="637222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Arial" w:hAnsi="Arial" w:eastAsia="宋体" w:cs="Times New Roman"/>
          <w:b/>
          <w:kern w:val="2"/>
          <w:sz w:val="30"/>
          <w:szCs w:val="24"/>
          <w:lang w:val="en-US" w:eastAsia="zh-CN" w:bidi="ar-SA"/>
        </w:rPr>
      </w:pPr>
      <w:r>
        <w:rPr>
          <w:rFonts w:hint="eastAsia" w:eastAsia="宋体" w:cs="Times New Roman"/>
          <w:b/>
          <w:kern w:val="2"/>
          <w:sz w:val="30"/>
          <w:szCs w:val="24"/>
          <w:lang w:val="en-US" w:eastAsia="zh-CN" w:bidi="ar-SA"/>
        </w:rPr>
        <w:t>A卡驱动【优先级：低，延后】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866255"/>
            <wp:effectExtent l="0" t="0" r="825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A卡驱动笔记本、台式机电脑当前考虑一致，主要针对独立显卡驱动的管理。</w:t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提供两种驱动选择，即AMDGPU、</w:t>
      </w:r>
      <w:r>
        <w:rPr>
          <w:rFonts w:ascii="宋体" w:hAnsi="宋体" w:eastAsia="宋体" w:cs="宋体"/>
          <w:sz w:val="24"/>
          <w:szCs w:val="24"/>
        </w:rPr>
        <w:t>Radeon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AMDGPU属于较为老的驱动，兼容大部分老旧显卡。如果系统检测到驱动属于这个范围，那么自动判定选择该驱动，而Radeon置灰无法选择。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Radeon属于比较新的驱动，兼容大部分新版显卡驱动。如果系统检测到驱动属于这个范围，那么自动判断选定该驱动，而AMDGPU置灰无法选择。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有少数驱动介于AMDGPU与Radeon之间，当系统判定是这种驱动的时候，提供两种驱动的切换功能，点击选中切换确定后，切换逻辑与N卡那边逻辑一样。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非功能性需求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启动到进入应用，时长在1S以内，应用内部页面切换响应在0.5S以内；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功能稳定，</w:t>
      </w:r>
      <w:r>
        <w:rPr>
          <w:rFonts w:hint="eastAsia"/>
          <w:lang w:val="en-US" w:eastAsia="zh-CN"/>
        </w:rPr>
        <w:t>切换过程除了必要性的重启，不对系统造成影响，如卡顿、死机</w:t>
      </w:r>
      <w:r>
        <w:rPr>
          <w:rFonts w:hint="eastAsia"/>
        </w:rPr>
        <w:t>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5C44A3"/>
    <w:multiLevelType w:val="singleLevel"/>
    <w:tmpl w:val="BA5C44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4AA80A"/>
    <w:multiLevelType w:val="singleLevel"/>
    <w:tmpl w:val="DA4AA8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D89B6DF"/>
    <w:multiLevelType w:val="singleLevel"/>
    <w:tmpl w:val="DD89B6D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FDDC05F"/>
    <w:multiLevelType w:val="multilevel"/>
    <w:tmpl w:val="DFDDC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E84B34FE"/>
    <w:multiLevelType w:val="singleLevel"/>
    <w:tmpl w:val="E84B34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242AF08"/>
    <w:multiLevelType w:val="multilevel"/>
    <w:tmpl w:val="5242AF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C25A662"/>
    <w:multiLevelType w:val="singleLevel"/>
    <w:tmpl w:val="6C25A6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57D56BB"/>
    <w:multiLevelType w:val="singleLevel"/>
    <w:tmpl w:val="757D56B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E2272"/>
    <w:rsid w:val="00B70CCF"/>
    <w:rsid w:val="00FB21C5"/>
    <w:rsid w:val="010014B2"/>
    <w:rsid w:val="0194165D"/>
    <w:rsid w:val="01E5297C"/>
    <w:rsid w:val="03177D6D"/>
    <w:rsid w:val="057B4BB4"/>
    <w:rsid w:val="05F56762"/>
    <w:rsid w:val="06901317"/>
    <w:rsid w:val="074117EC"/>
    <w:rsid w:val="080B13EA"/>
    <w:rsid w:val="08332CA0"/>
    <w:rsid w:val="0C650A99"/>
    <w:rsid w:val="0CED01D9"/>
    <w:rsid w:val="0D5F3699"/>
    <w:rsid w:val="0DB53764"/>
    <w:rsid w:val="102961E3"/>
    <w:rsid w:val="10570C10"/>
    <w:rsid w:val="114E3F93"/>
    <w:rsid w:val="142D32F2"/>
    <w:rsid w:val="14747E67"/>
    <w:rsid w:val="1475500A"/>
    <w:rsid w:val="15975674"/>
    <w:rsid w:val="172E705B"/>
    <w:rsid w:val="192E2272"/>
    <w:rsid w:val="1AA8065D"/>
    <w:rsid w:val="1B3274D5"/>
    <w:rsid w:val="1C82612D"/>
    <w:rsid w:val="1D8D0651"/>
    <w:rsid w:val="1DCB369E"/>
    <w:rsid w:val="20ED44E0"/>
    <w:rsid w:val="23C944A4"/>
    <w:rsid w:val="26130751"/>
    <w:rsid w:val="26543F0D"/>
    <w:rsid w:val="26FE65D7"/>
    <w:rsid w:val="29F85366"/>
    <w:rsid w:val="2B0B4041"/>
    <w:rsid w:val="2C3D1C77"/>
    <w:rsid w:val="2D011B7D"/>
    <w:rsid w:val="2D5A51E8"/>
    <w:rsid w:val="2ECF6BDB"/>
    <w:rsid w:val="2FE94055"/>
    <w:rsid w:val="30E85349"/>
    <w:rsid w:val="315A0871"/>
    <w:rsid w:val="324633D2"/>
    <w:rsid w:val="33BF5CCB"/>
    <w:rsid w:val="36582E0A"/>
    <w:rsid w:val="373B712A"/>
    <w:rsid w:val="37D53ADB"/>
    <w:rsid w:val="3AFD723B"/>
    <w:rsid w:val="3BF3E79F"/>
    <w:rsid w:val="3DAF7352"/>
    <w:rsid w:val="3E3D75A9"/>
    <w:rsid w:val="3F8B5408"/>
    <w:rsid w:val="3F9F7793"/>
    <w:rsid w:val="3FBE7393"/>
    <w:rsid w:val="421F4415"/>
    <w:rsid w:val="424046FD"/>
    <w:rsid w:val="429A357A"/>
    <w:rsid w:val="42E85933"/>
    <w:rsid w:val="43435CA5"/>
    <w:rsid w:val="447B27BD"/>
    <w:rsid w:val="455C798B"/>
    <w:rsid w:val="45B414C2"/>
    <w:rsid w:val="47F17B8A"/>
    <w:rsid w:val="47FD24B5"/>
    <w:rsid w:val="480178D0"/>
    <w:rsid w:val="48935F1A"/>
    <w:rsid w:val="48BD2401"/>
    <w:rsid w:val="4AF9688B"/>
    <w:rsid w:val="4BC6556E"/>
    <w:rsid w:val="4CE81CDA"/>
    <w:rsid w:val="4E201682"/>
    <w:rsid w:val="4EBF2DF4"/>
    <w:rsid w:val="50775999"/>
    <w:rsid w:val="508513DF"/>
    <w:rsid w:val="50AE7308"/>
    <w:rsid w:val="518167E9"/>
    <w:rsid w:val="51BB7937"/>
    <w:rsid w:val="531B4DDF"/>
    <w:rsid w:val="53323A6D"/>
    <w:rsid w:val="552337EC"/>
    <w:rsid w:val="57A71DA6"/>
    <w:rsid w:val="57DA3CBC"/>
    <w:rsid w:val="58EA25BF"/>
    <w:rsid w:val="5A8164D6"/>
    <w:rsid w:val="5B57655A"/>
    <w:rsid w:val="5C9E74E4"/>
    <w:rsid w:val="5E5167BA"/>
    <w:rsid w:val="5F7F4FD3"/>
    <w:rsid w:val="61B831CF"/>
    <w:rsid w:val="61CB2E53"/>
    <w:rsid w:val="629B0162"/>
    <w:rsid w:val="64992CB8"/>
    <w:rsid w:val="66003690"/>
    <w:rsid w:val="667016DC"/>
    <w:rsid w:val="67377C53"/>
    <w:rsid w:val="68CC3AAD"/>
    <w:rsid w:val="697233A9"/>
    <w:rsid w:val="6B2265AE"/>
    <w:rsid w:val="6BDB27E6"/>
    <w:rsid w:val="6F153B9B"/>
    <w:rsid w:val="70FE311E"/>
    <w:rsid w:val="714C3059"/>
    <w:rsid w:val="71B13F07"/>
    <w:rsid w:val="72A95E9F"/>
    <w:rsid w:val="73353AE1"/>
    <w:rsid w:val="735E2AA6"/>
    <w:rsid w:val="73B96F98"/>
    <w:rsid w:val="73C27E66"/>
    <w:rsid w:val="745243C0"/>
    <w:rsid w:val="75D401F2"/>
    <w:rsid w:val="77114242"/>
    <w:rsid w:val="771F0CBB"/>
    <w:rsid w:val="784C000D"/>
    <w:rsid w:val="79091F36"/>
    <w:rsid w:val="7D3820B1"/>
    <w:rsid w:val="7D7F2894"/>
    <w:rsid w:val="7E777FB3"/>
    <w:rsid w:val="7ECB4CD9"/>
    <w:rsid w:val="95771C0C"/>
    <w:rsid w:val="AFF91286"/>
    <w:rsid w:val="B37E3725"/>
    <w:rsid w:val="BFAEE120"/>
    <w:rsid w:val="F17F7149"/>
    <w:rsid w:val="FC6B7BDE"/>
    <w:rsid w:val="FFBEC31C"/>
    <w:rsid w:val="FFC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60" w:beforeLines="0" w:beforeAutospacing="0" w:after="60" w:afterLines="0" w:afterAutospacing="0" w:line="360" w:lineRule="auto"/>
      <w:ind w:left="431" w:hanging="431"/>
      <w:outlineLvl w:val="0"/>
    </w:pPr>
    <w:rPr>
      <w:rFonts w:eastAsia="微软雅黑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60" w:beforeLines="0" w:beforeAutospacing="0" w:after="60" w:afterLines="0" w:afterAutospacing="0" w:line="360" w:lineRule="auto"/>
      <w:ind w:left="573" w:hanging="573"/>
      <w:outlineLvl w:val="1"/>
    </w:pPr>
    <w:rPr>
      <w:rFonts w:ascii="Arial" w:hAnsi="Arial" w:eastAsia="微软雅黑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60" w:beforeLines="0" w:beforeAutospacing="0" w:after="60" w:afterLines="0" w:afterAutospacing="0" w:line="360" w:lineRule="auto"/>
      <w:ind w:left="720" w:hanging="720"/>
      <w:outlineLvl w:val="2"/>
    </w:pPr>
    <w:rPr>
      <w:rFonts w:eastAsia="微软雅黑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60" w:beforeLines="0" w:beforeAutospacing="0" w:after="60" w:afterLines="0" w:afterAutospacing="0" w:line="360" w:lineRule="auto"/>
      <w:ind w:left="862" w:hanging="862"/>
      <w:outlineLvl w:val="3"/>
    </w:pPr>
    <w:rPr>
      <w:rFonts w:ascii="Arial" w:hAnsi="Arial" w:eastAsia="微软雅黑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2020-09-16T01:33:00Z</dcterms:created>
  <dc:creator>七百二十烦恼风</dc:creator>
  <cp:lastModifiedBy>七百二十烦恼风</cp:lastModifiedBy>
  <dcterms:modified xsi:type="dcterms:W3CDTF">2020-10-26T00:33:24Z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