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B396B"/>
            <w:vAlign w:val="center"/>
          </w:tcPr>
          <w:p>
            <w:r>
              <w:rPr>
                <w:b/>
                <w:color w:val="FFFFFF"/>
                <w:sz w:val="36"/>
              </w:rPr>
              <w:t>KIRK NIEL DE GUZMAN RANCHES</w:t>
            </w:r>
          </w:p>
          <w:p>
            <w:r>
              <w:rPr>
                <w:b/>
                <w:color w:val="D9C477"/>
                <w:sz w:val="22"/>
              </w:rPr>
              <w:t>DATA ANALYTICS &amp; BUSINESS PROCESS SPECIALIST</w:t>
            </w:r>
          </w:p>
          <w:p>
            <w:r>
              <w:rPr>
                <w:color w:val="C4CADB"/>
                <w:sz w:val="17"/>
              </w:rPr>
              <w:t>Business Process Automation · Digital Transformation · AI · Business Intelligence</w:t>
            </w:r>
          </w:p>
        </w:tc>
        <w:tc>
          <w:tcPr>
            <w:tcW w:type="dxa" w:w="5112"/>
            <w:shd w:val="clear" w:color="auto" w:fill="1B396B"/>
            <w:vAlign w:val="center"/>
          </w:tcPr>
          <w:p>
            <w:pPr>
              <w:jc w:val="right"/>
            </w:pPr>
            <w:r>
              <w:rPr>
                <w:color w:val="FFFFFF"/>
                <w:sz w:val="19"/>
              </w:rPr>
              <w:t>+63 917 637 0274</w:t>
            </w:r>
          </w:p>
          <w:p>
            <w:pPr>
              <w:jc w:val="right"/>
            </w:pPr>
            <w:r>
              <w:rPr>
                <w:color w:val="FFFFFF"/>
                <w:sz w:val="19"/>
              </w:rPr>
              <w:t>rancheskirk@gmail.com</w:t>
            </w:r>
          </w:p>
          <w:p>
            <w:pPr>
              <w:jc w:val="right"/>
            </w:pPr>
            <w:r>
              <w:rPr>
                <w:color w:val="FFFFFF"/>
                <w:sz w:val="19"/>
              </w:rPr>
              <w:t>linkedin.com/in/kirk-ranches</w:t>
            </w:r>
          </w:p>
          <w:p>
            <w:pPr>
              <w:jc w:val="right"/>
            </w:pPr>
            <w:r>
              <w:rPr>
                <w:color w:val="FFFFFF"/>
                <w:sz w:val="19"/>
              </w:rPr>
              <w:t>Sta. Cruz, Lubao, Pampanga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4" w:color="8A6D1E"/>
        </w:pBdr>
      </w:pPr>
      <w:r>
        <w:rPr>
          <w:rFonts w:ascii="Calibri" w:hAnsi="Calibri"/>
          <w:b/>
          <w:color w:val="1B396B"/>
          <w:sz w:val="25"/>
        </w:rPr>
        <w:t>PROFILE</w:t>
      </w:r>
    </w:p>
    <w:p>
      <w:r>
        <w:rPr>
          <w:sz w:val="20"/>
        </w:rPr>
        <w:t>Data Analytics Specialist with an engineering and Six Sigma foundation. Designs and builds workflow automation, AI knowledge systems, and BI reporting across cross-functional teams at Filinvest Alabang Inc.</w:t>
      </w:r>
    </w:p>
    <w:p>
      <w:pPr>
        <w:spacing w:before="280" w:after="80"/>
        <w:pBdr>
          <w:bottom w:val="single" w:sz="8" w:space="4" w:color="8A6D1E"/>
        </w:pBdr>
      </w:pPr>
      <w:r>
        <w:rPr>
          <w:rFonts w:ascii="Calibri" w:hAnsi="Calibri"/>
          <w:b/>
          <w:color w:val="1B396B"/>
          <w:sz w:val="25"/>
        </w:rPr>
        <w:t>SELECTED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color w:val="1B396B"/>
                <w:sz w:val="24"/>
              </w:rPr>
              <w:t>2 hr → 5 min</w:t>
            </w:r>
          </w:p>
        </w:tc>
        <w:tc>
          <w:tcPr>
            <w:tcW w:type="dxa" w:w="2556"/>
          </w:tcPr>
          <w:p>
            <w:r>
              <w:rPr>
                <w:b/>
                <w:color w:val="1B396B"/>
                <w:sz w:val="24"/>
              </w:rPr>
              <w:t>3–12d → same-day</w:t>
            </w:r>
          </w:p>
        </w:tc>
        <w:tc>
          <w:tcPr>
            <w:tcW w:type="dxa" w:w="2556"/>
          </w:tcPr>
          <w:p>
            <w:r>
              <w:rPr>
                <w:b/>
                <w:color w:val="1B396B"/>
                <w:sz w:val="24"/>
              </w:rPr>
              <w:t>100%</w:t>
            </w:r>
          </w:p>
        </w:tc>
        <w:tc>
          <w:tcPr>
            <w:tcW w:type="dxa" w:w="2556"/>
          </w:tcPr>
          <w:p>
            <w:r>
              <w:rPr>
                <w:b/>
                <w:color w:val="1B396B"/>
                <w:sz w:val="24"/>
              </w:rPr>
              <w:t>100%</w:t>
            </w:r>
          </w:p>
        </w:tc>
      </w:tr>
      <w:tr>
        <w:tc>
          <w:tcPr>
            <w:tcW w:type="dxa" w:w="2556"/>
          </w:tcPr>
          <w:p>
            <w:r>
              <w:rPr>
                <w:color w:val="5A5F6E"/>
                <w:sz w:val="16"/>
              </w:rPr>
              <w:t>Knowledge retrieval</w:t>
            </w:r>
          </w:p>
        </w:tc>
        <w:tc>
          <w:tcPr>
            <w:tcW w:type="dxa" w:w="2556"/>
          </w:tcPr>
          <w:p>
            <w:r>
              <w:rPr>
                <w:color w:val="5A5F6E"/>
                <w:sz w:val="16"/>
              </w:rPr>
              <w:t>PR submission time</w:t>
            </w:r>
          </w:p>
        </w:tc>
        <w:tc>
          <w:tcPr>
            <w:tcW w:type="dxa" w:w="2556"/>
          </w:tcPr>
          <w:p>
            <w:r>
              <w:rPr>
                <w:color w:val="5A5F6E"/>
                <w:sz w:val="16"/>
              </w:rPr>
              <w:t>Manual data entry eliminated</w:t>
            </w:r>
          </w:p>
        </w:tc>
        <w:tc>
          <w:tcPr>
            <w:tcW w:type="dxa" w:w="2556"/>
          </w:tcPr>
          <w:p>
            <w:r>
              <w:rPr>
                <w:color w:val="5A5F6E"/>
                <w:sz w:val="16"/>
              </w:rPr>
              <w:t>Org-chart updates automated</w:t>
            </w:r>
          </w:p>
        </w:tc>
      </w:tr>
    </w:tbl>
    <w:p>
      <w:pPr>
        <w:spacing w:before="280" w:after="80"/>
        <w:pBdr>
          <w:bottom w:val="single" w:sz="8" w:space="4" w:color="8A6D1E"/>
        </w:pBdr>
      </w:pPr>
      <w:r>
        <w:rPr>
          <w:rFonts w:ascii="Calibri" w:hAnsi="Calibri"/>
          <w:b/>
          <w:color w:val="1B396B"/>
          <w:sz w:val="25"/>
        </w:rPr>
        <w:t>CORE CAPABILITIES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B396B"/>
                <w:sz w:val="19"/>
              </w:rPr>
              <w:t>Process Transformation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Workflow Architecture · Process Digitalization · Governance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B396B"/>
                <w:sz w:val="19"/>
              </w:rPr>
              <w:t>Automation &amp; AI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Smartsheet · SharePoint · Copilot Studio · Power BI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B396B"/>
                <w:sz w:val="19"/>
              </w:rPr>
              <w:t>Analytics &amp; Engineering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Advanced Excel · Statistical Analysis · Six Sigma · RCA · KAIZEN</w:t>
            </w:r>
          </w:p>
        </w:tc>
      </w:tr>
    </w:tbl>
    <w:p>
      <w:pPr>
        <w:spacing w:before="280" w:after="80"/>
        <w:pBdr>
          <w:bottom w:val="single" w:sz="8" w:space="4" w:color="8A6D1E"/>
        </w:pBdr>
      </w:pPr>
      <w:r>
        <w:rPr>
          <w:rFonts w:ascii="Calibri" w:hAnsi="Calibri"/>
          <w:b/>
          <w:color w:val="1B396B"/>
          <w:sz w:val="25"/>
        </w:rPr>
        <w:t>PROFESSIONAL EXPERIENCE</w:t>
      </w:r>
    </w:p>
    <w:p>
      <w:pPr>
        <w:tabs>
          <w:tab w:pos="8784" w:val="right"/>
        </w:tabs>
        <w:spacing w:before="160"/>
      </w:pPr>
      <w:r>
        <w:rPr>
          <w:b/>
          <w:color w:val="1B396B"/>
          <w:sz w:val="23"/>
        </w:rPr>
        <w:t>Data Analytics Specialist</w:t>
      </w:r>
      <w:r>
        <w:rPr>
          <w:b/>
          <w:color w:val="8A6D1E"/>
          <w:sz w:val="19"/>
        </w:rPr>
        <w:tab/>
        <w:t>Dec 2025 – Present</w:t>
      </w:r>
    </w:p>
    <w:p>
      <w:pPr>
        <w:spacing w:after="60"/>
      </w:pPr>
      <w:r>
        <w:rPr>
          <w:i/>
          <w:color w:val="5A5F6E"/>
          <w:sz w:val="19"/>
        </w:rPr>
        <w:t>Filinvest Alabang Inc. (FAI) — Strategy &amp; Innovation Group | Alabang, Muntinlupa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AFAIK Knowledge Base &amp; AI Chatbot — 2 hr → 5 min. </w:t>
      </w:r>
      <w:r>
        <w:rPr>
          <w:b w:val="0"/>
          <w:color w:val="1A1A2C"/>
          <w:sz w:val="19"/>
        </w:rPr>
        <w:t>Architected the SharePoint knowledge base and integrated a Microsoft Copilot Studio AI agent into MS Teams, cutting document retrieval time.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CLEAR — CapEx Lifecycle &amp; Expenditure Approval Routing. </w:t>
      </w:r>
      <w:r>
        <w:rPr>
          <w:b w:val="0"/>
          <w:color w:val="1A1A2C"/>
          <w:sz w:val="19"/>
        </w:rPr>
        <w:t>Built Finance's role-based CAPEX budget workflow (PD Staff → PD Manager → Finance Manager sign-off) for the Budget &amp; Strategic Finance team.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RFP Approval Automation &amp; PR Form Digitalization. </w:t>
      </w:r>
      <w:r>
        <w:rPr>
          <w:b w:val="0"/>
          <w:color w:val="1A1A2C"/>
          <w:sz w:val="19"/>
        </w:rPr>
        <w:t>Replaced manual handoffs in Finance's OPEX Monitoring &amp; Control group with validated Smartsheet routing; PR submission time cut from 3–12 days to same-day.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P.R.I.M.E. — Project Readiness &amp; Intelligent Monitor Engine; CRD Turnover Monitoring &amp; Automation. </w:t>
      </w:r>
      <w:r>
        <w:rPr>
          <w:b w:val="0"/>
          <w:color w:val="1A1A2C"/>
          <w:sz w:val="19"/>
        </w:rPr>
        <w:t>Built an enterprise project-monitoring framework with automated leadership escalation, and Customer Relations Department's turnover system replacing manual Excel tracking.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Sales Table of Organization Automation, CLIE &amp; Credit Card Automation. </w:t>
      </w:r>
      <w:r>
        <w:rPr>
          <w:b w:val="0"/>
          <w:color w:val="1A1A2C"/>
          <w:sz w:val="19"/>
        </w:rPr>
        <w:t>Automated Sales Support &amp; Leasing's org-chart generation via Power BI (100% manual updates eliminated); built Project Development's CLIE (Customer Lifecycle Intelligence Engine) milestone tracker and Corporate Marketing's reconciliation system (100% manual entry eliminated).</w:t>
      </w:r>
    </w:p>
    <w:p>
      <w:pPr>
        <w:tabs>
          <w:tab w:pos="8784" w:val="right"/>
        </w:tabs>
        <w:spacing w:before="160"/>
      </w:pPr>
      <w:r>
        <w:rPr>
          <w:b/>
          <w:color w:val="1B396B"/>
          <w:sz w:val="23"/>
        </w:rPr>
        <w:t>Manufacturing Engineer</w:t>
      </w:r>
      <w:r>
        <w:rPr>
          <w:b/>
          <w:color w:val="8A6D1E"/>
          <w:sz w:val="19"/>
        </w:rPr>
        <w:tab/>
        <w:t>Mar 2024 – Nov 2025</w:t>
      </w:r>
    </w:p>
    <w:p>
      <w:pPr>
        <w:spacing w:after="60"/>
      </w:pPr>
      <w:r>
        <w:rPr>
          <w:i/>
          <w:color w:val="5A5F6E"/>
          <w:sz w:val="19"/>
        </w:rPr>
        <w:t>Yokowo Manufacturing of the Philippines Inc. | Hermosa Ecozone Industrial Park, Bataan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Terminal Applicator X-bar &amp; R Automation. </w:t>
      </w:r>
      <w:r>
        <w:rPr>
          <w:b w:val="0"/>
          <w:color w:val="1A1A2C"/>
          <w:sz w:val="19"/>
        </w:rPr>
        <w:t>Collaborated with the PD-Kaizen team on an Excel macro-driven system that auto-mapped data and generated charts; processed, printed, and QA-approved 1,000+ charts across 253 terminal applicator serial numbers.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KAIZEN &amp; ISO Compliance. </w:t>
      </w:r>
      <w:r>
        <w:rPr>
          <w:b w:val="0"/>
          <w:color w:val="1A1A2C"/>
          <w:sz w:val="19"/>
        </w:rPr>
        <w:t>Led KAIZEN initiatives to reduce waste; conducted ISO 9001 and ISO 14001 internal audits.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Process &amp; Equipment Readiness. </w:t>
      </w:r>
      <w:r>
        <w:rPr>
          <w:b w:val="0"/>
          <w:color w:val="1A1A2C"/>
          <w:sz w:val="19"/>
        </w:rPr>
        <w:t>Directed troubleshooting to minimize downtime; oversaw machine qualification and calibration.</w:t>
      </w:r>
    </w:p>
    <w:p>
      <w:pPr>
        <w:tabs>
          <w:tab w:pos="8784" w:val="right"/>
        </w:tabs>
        <w:spacing w:before="160"/>
      </w:pPr>
      <w:r>
        <w:rPr>
          <w:b/>
          <w:color w:val="1B396B"/>
          <w:sz w:val="23"/>
        </w:rPr>
        <w:t>Process Engineer</w:t>
      </w:r>
      <w:r>
        <w:rPr>
          <w:b/>
          <w:color w:val="8A6D1E"/>
          <w:sz w:val="19"/>
        </w:rPr>
        <w:tab/>
        <w:t>Dec 2022 – Nov 2023</w:t>
      </w:r>
    </w:p>
    <w:p>
      <w:pPr>
        <w:spacing w:after="60"/>
      </w:pPr>
      <w:r>
        <w:rPr>
          <w:i/>
          <w:color w:val="5A5F6E"/>
          <w:sz w:val="19"/>
        </w:rPr>
        <w:t>Inari Amertron Inc. | Clark Special Economic Zone, Pampanga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Six Sigma — Defective LC Cable Reduction (Green Belt project). </w:t>
      </w:r>
      <w:r>
        <w:rPr>
          <w:b w:val="0"/>
          <w:color w:val="1A1A2C"/>
          <w:sz w:val="19"/>
        </w:rPr>
        <w:t>Reduced monthly defects 50% (520 → 260 units), delivering $2,470/month in savings and doubling cable life from 1,200 → 2,400 insertions via RCA, ANOVA, t-tests, and I-MR analysis.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Material Qualification &amp; Training. </w:t>
      </w:r>
      <w:r>
        <w:rPr>
          <w:b w:val="0"/>
          <w:color w:val="1A1A2C"/>
          <w:sz w:val="19"/>
        </w:rPr>
        <w:t>Qualified new materials and substitute components; trained operators on revised process standards.</w:t>
      </w:r>
    </w:p>
    <w:p>
      <w:pPr>
        <w:pStyle w:val="ListBullet"/>
        <w:spacing w:after="80"/>
        <w:ind w:left="317"/>
      </w:pPr>
      <w:r>
        <w:rPr>
          <w:b/>
          <w:color w:val="1A1A2C"/>
          <w:sz w:val="19"/>
        </w:rPr>
        <w:t xml:space="preserve">Data-Driven Corrective Action. </w:t>
      </w:r>
      <w:r>
        <w:rPr>
          <w:b w:val="0"/>
          <w:color w:val="1A1A2C"/>
          <w:sz w:val="19"/>
        </w:rPr>
        <w:t>Used Excel Power Query and Pivot Tables to analyze defect trends.</w:t>
      </w:r>
    </w:p>
    <w:p>
      <w:pPr>
        <w:spacing w:before="280" w:after="80"/>
        <w:pBdr>
          <w:bottom w:val="single" w:sz="8" w:space="4" w:color="8A6D1E"/>
        </w:pBdr>
      </w:pPr>
      <w:r>
        <w:rPr>
          <w:rFonts w:ascii="Calibri" w:hAnsi="Calibri"/>
          <w:b/>
          <w:color w:val="1B396B"/>
          <w:sz w:val="25"/>
        </w:rPr>
        <w:t>EDUCATION &amp; CREDENTIALS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 w:before="0"/>
            </w:pPr>
            <w:r>
              <w:rPr>
                <w:b/>
                <w:color w:val="1A1A2C"/>
                <w:sz w:val="21"/>
              </w:rPr>
              <w:t>BS Electronics and Communications Engineering</w:t>
            </w:r>
          </w:p>
          <w:p>
            <w:pPr>
              <w:spacing w:after="0"/>
            </w:pPr>
            <w:r>
              <w:rPr>
                <w:color w:val="5A5F6E"/>
                <w:sz w:val="19"/>
              </w:rPr>
              <w:t>Lyceum of Subic Bay, SBFZ, Zambales</w:t>
            </w:r>
          </w:p>
        </w:tc>
        <w:tc>
          <w:tcPr>
            <w:tcW w:type="dxa" w:w="5112"/>
          </w:tcPr>
          <w:p>
            <w:pPr>
              <w:spacing w:after="20" w:before="0"/>
            </w:pPr>
            <w:r>
              <w:rPr>
                <w:b/>
                <w:color w:val="1A1A2C"/>
                <w:sz w:val="21"/>
              </w:rPr>
              <w:t>Licensed Electronics Technician</w:t>
            </w:r>
          </w:p>
          <w:p>
            <w:pPr>
              <w:spacing w:after="0"/>
            </w:pPr>
            <w:r>
              <w:rPr>
                <w:color w:val="5A5F6E"/>
                <w:sz w:val="19"/>
              </w:rPr>
              <w:t>Professional Regulation Commission (PRC)</w:t>
            </w:r>
          </w:p>
          <w:p>
            <w:pPr>
              <w:spacing w:after="20" w:before="160"/>
            </w:pPr>
            <w:r>
              <w:rPr>
                <w:b/>
                <w:color w:val="1A1A2C"/>
                <w:sz w:val="21"/>
              </w:rPr>
              <w:t>Six Sigma Yellow Belt &amp; White Belt</w:t>
            </w:r>
          </w:p>
          <w:p>
            <w:pPr>
              <w:spacing w:after="0"/>
            </w:pPr>
            <w:r>
              <w:rPr>
                <w:color w:val="5A5F6E"/>
                <w:sz w:val="19"/>
              </w:rPr>
              <w:t>MF Treinamentos</w:t>
            </w:r>
          </w:p>
        </w:tc>
      </w:tr>
    </w:tbl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1A1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Kirk Niel De Guzman Ranches — Résumé (2026-08-r03)</dc:title>
  <dc:subject>Résumé</dc:subject>
  <dc:creator>Kirk Niel D. Ranches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