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859B" w14:textId="77777777" w:rsidR="00837C1F" w:rsidRDefault="00837C1F" w:rsidP="00837C1F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1FFB5FD4" w14:textId="77777777" w:rsidR="00837C1F" w:rsidRDefault="00837C1F" w:rsidP="00837C1F">
      <w:pPr>
        <w:pStyle w:val="a3"/>
        <w:jc w:val="center"/>
      </w:pPr>
    </w:p>
    <w:p w14:paraId="09981DAA" w14:textId="77777777" w:rsidR="00837C1F" w:rsidRDefault="00837C1F" w:rsidP="00837C1F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2BB6A779" w14:textId="77777777" w:rsidR="00837C1F" w:rsidRDefault="00837C1F" w:rsidP="00837C1F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1943A6F3" w14:textId="77777777" w:rsidR="00837C1F" w:rsidRDefault="00837C1F" w:rsidP="00837C1F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53687186" w14:textId="77777777" w:rsidR="00837C1F" w:rsidRDefault="00837C1F" w:rsidP="00837C1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68D7F2D3" w14:textId="77777777" w:rsidR="00837C1F" w:rsidRDefault="00837C1F" w:rsidP="00837C1F">
      <w:pPr>
        <w:pStyle w:val="a3"/>
        <w:jc w:val="center"/>
        <w:rPr>
          <w:color w:val="000007"/>
          <w:sz w:val="28"/>
          <w:szCs w:val="28"/>
        </w:rPr>
      </w:pPr>
    </w:p>
    <w:p w14:paraId="3F8B7DFE" w14:textId="77777777" w:rsidR="00837C1F" w:rsidRDefault="00837C1F" w:rsidP="00837C1F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656D3DFB" w14:textId="77777777" w:rsidR="00837C1F" w:rsidRDefault="00837C1F" w:rsidP="00837C1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2AEFB5AE" w14:textId="77777777" w:rsidR="00837C1F" w:rsidRDefault="00837C1F" w:rsidP="00837C1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4919927A" w14:textId="6BB80287" w:rsidR="00837C1F" w:rsidRDefault="00837C1F" w:rsidP="00837C1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Домашняя работа №</w:t>
      </w:r>
      <w:r w:rsidR="00E274CC">
        <w:rPr>
          <w:color w:val="000007"/>
          <w:sz w:val="28"/>
          <w:szCs w:val="28"/>
        </w:rPr>
        <w:t>4</w:t>
      </w:r>
      <w:r>
        <w:rPr>
          <w:color w:val="000007"/>
          <w:sz w:val="28"/>
          <w:szCs w:val="28"/>
        </w:rPr>
        <w:t xml:space="preserve">  </w:t>
      </w:r>
    </w:p>
    <w:p w14:paraId="751529FC" w14:textId="77777777" w:rsidR="00837C1F" w:rsidRDefault="00837C1F" w:rsidP="00837C1F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47F89651" w14:textId="77777777" w:rsidR="00837C1F" w:rsidRDefault="00837C1F" w:rsidP="00837C1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26AB7F50" w14:textId="77777777" w:rsidR="00837C1F" w:rsidRDefault="00837C1F" w:rsidP="00837C1F">
      <w:pPr>
        <w:pStyle w:val="a3"/>
        <w:jc w:val="center"/>
      </w:pPr>
    </w:p>
    <w:p w14:paraId="1C3FEA65" w14:textId="77777777" w:rsidR="00837C1F" w:rsidRDefault="00837C1F" w:rsidP="00837C1F">
      <w:pPr>
        <w:pStyle w:val="a3"/>
        <w:jc w:val="center"/>
      </w:pPr>
    </w:p>
    <w:p w14:paraId="5B0FDF5C" w14:textId="77777777" w:rsidR="00837C1F" w:rsidRDefault="00837C1F" w:rsidP="00837C1F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proofErr w:type="spellStart"/>
      <w:r>
        <w:rPr>
          <w:color w:val="000007"/>
          <w:sz w:val="28"/>
          <w:szCs w:val="28"/>
        </w:rPr>
        <w:t>Хаписов</w:t>
      </w:r>
      <w:proofErr w:type="spellEnd"/>
      <w:r>
        <w:rPr>
          <w:color w:val="000007"/>
          <w:sz w:val="28"/>
          <w:szCs w:val="28"/>
        </w:rPr>
        <w:t xml:space="preserve"> М.Х.</w:t>
      </w:r>
    </w:p>
    <w:p w14:paraId="0AF8AEE2" w14:textId="77777777" w:rsidR="00837C1F" w:rsidRDefault="00837C1F" w:rsidP="00837C1F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Т.В. </w:t>
      </w:r>
    </w:p>
    <w:p w14:paraId="0159BB25" w14:textId="77777777" w:rsidR="00837C1F" w:rsidRDefault="00837C1F" w:rsidP="00837C1F">
      <w:pPr>
        <w:pStyle w:val="a3"/>
      </w:pPr>
    </w:p>
    <w:p w14:paraId="6A6D1FE7" w14:textId="77777777" w:rsidR="00837C1F" w:rsidRDefault="00837C1F" w:rsidP="00837C1F">
      <w:pPr>
        <w:pStyle w:val="a3"/>
      </w:pPr>
    </w:p>
    <w:p w14:paraId="776DDA3A" w14:textId="77777777" w:rsidR="00837C1F" w:rsidRDefault="00837C1F" w:rsidP="00837C1F">
      <w:pPr>
        <w:pStyle w:val="a3"/>
      </w:pPr>
    </w:p>
    <w:p w14:paraId="4C59CB4C" w14:textId="77777777" w:rsidR="00837C1F" w:rsidRDefault="00837C1F" w:rsidP="00837C1F">
      <w:pPr>
        <w:pStyle w:val="a3"/>
        <w:rPr>
          <w:color w:val="000007"/>
          <w:sz w:val="28"/>
          <w:szCs w:val="28"/>
        </w:rPr>
      </w:pPr>
    </w:p>
    <w:p w14:paraId="2BD8EF90" w14:textId="77777777" w:rsidR="00837C1F" w:rsidRDefault="00837C1F" w:rsidP="00837C1F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6B5E63EF" w14:textId="77777777" w:rsidR="00837C1F" w:rsidRDefault="00837C1F" w:rsidP="00837C1F">
      <w:pPr>
        <w:spacing w:before="240" w:line="360" w:lineRule="auto"/>
        <w:jc w:val="center"/>
        <w:rPr>
          <w:rFonts w:ascii="Cambria Math" w:hAnsi="Cambria Math"/>
          <w:b/>
          <w:color w:val="0D0D0D" w:themeColor="text1" w:themeTint="F2"/>
          <w:sz w:val="28"/>
          <w:szCs w:val="28"/>
        </w:rPr>
      </w:pPr>
      <w:r>
        <w:rPr>
          <w:rFonts w:ascii="Cambria Math" w:hAnsi="Cambria Math"/>
          <w:b/>
          <w:color w:val="0D0D0D" w:themeColor="text1" w:themeTint="F2"/>
          <w:sz w:val="28"/>
          <w:szCs w:val="28"/>
        </w:rPr>
        <w:lastRenderedPageBreak/>
        <w:t>Интервальные оценки для параметра биноминального закона</w:t>
      </w:r>
    </w:p>
    <w:p w14:paraId="1F2CB11A" w14:textId="77777777" w:rsidR="00837C1F" w:rsidRDefault="00837C1F" w:rsidP="00837C1F">
      <w:pPr>
        <w:spacing w:after="0" w:line="360" w:lineRule="auto"/>
        <w:ind w:firstLine="567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Используя выборку, сгенерированную вами в задаче 2 и считая параметр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неизвестным (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k-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дано)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, постройте для уровней доверия </w:t>
      </w:r>
    </w:p>
    <w:p w14:paraId="1092EDDE" w14:textId="77777777" w:rsidR="00837C1F" w:rsidRDefault="00837C1F" w:rsidP="00837C1F">
      <w:pPr>
        <w:spacing w:after="0" w:line="360" w:lineRule="auto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1-α=0.9</m:t>
        </m:r>
      </m:oMath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, 0.95 и 0.98 </w:t>
      </w:r>
    </w:p>
    <w:p w14:paraId="6FBC12B2" w14:textId="77777777" w:rsidR="00837C1F" w:rsidRDefault="00837C1F" w:rsidP="00837C1F">
      <w:pPr>
        <w:pStyle w:val="a4"/>
        <w:numPr>
          <w:ilvl w:val="0"/>
          <w:numId w:val="1"/>
        </w:num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симметричные интервальные оценки </w:t>
      </w:r>
      <w:proofErr w:type="spellStart"/>
      <w:r>
        <w:rPr>
          <w:rFonts w:ascii="Cambria Math" w:hAnsi="Cambria Math"/>
          <w:color w:val="0D0D0D" w:themeColor="text1" w:themeTint="F2"/>
          <w:sz w:val="28"/>
          <w:szCs w:val="28"/>
        </w:rPr>
        <w:t>Клоппера</w:t>
      </w:r>
      <w:proofErr w:type="spellEnd"/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-Пирсона 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</m:e>
        </m:d>
      </m:oMath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 для вероятности успеха в одном испытании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. </w:t>
      </w:r>
    </w:p>
    <w:p w14:paraId="1D262795" w14:textId="77777777" w:rsidR="00837C1F" w:rsidRDefault="00837C1F" w:rsidP="00837C1F">
      <w:pPr>
        <w:pStyle w:val="a4"/>
        <w:numPr>
          <w:ilvl w:val="0"/>
          <w:numId w:val="1"/>
        </w:numPr>
        <w:spacing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Для тех же уровней найдите по ЦПТ </w:t>
      </w:r>
      <w:r>
        <w:rPr>
          <w:rFonts w:ascii="Cambria Math" w:hAnsi="Cambria Math"/>
          <w:color w:val="0D0D0D" w:themeColor="text1" w:themeTint="F2"/>
          <w:sz w:val="28"/>
          <w:szCs w:val="28"/>
        </w:rPr>
        <w:t xml:space="preserve">приближенные доверительные интервалы для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p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5BC94EC7" w14:textId="77777777" w:rsidR="00837C1F" w:rsidRDefault="00837C1F" w:rsidP="00837C1F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Сравните полученные результаты и убедитесь, что полученные интервалы содержат истинное значение параметра.</w:t>
      </w:r>
    </w:p>
    <w:p w14:paraId="54E0055A" w14:textId="77777777" w:rsidR="00837C1F" w:rsidRDefault="00837C1F" w:rsidP="00837C1F">
      <w:pPr>
        <w:spacing w:after="0" w:line="360" w:lineRule="auto"/>
        <w:ind w:firstLine="567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Для одного из значений </w:t>
      </w:r>
      <m:oMath>
        <m:r>
          <w:rPr>
            <w:rFonts w:ascii="Cambria Math" w:hAnsi="Cambria Math"/>
            <w:color w:val="0D0D0D" w:themeColor="text1" w:themeTint="F2"/>
            <w:sz w:val="28"/>
            <w:szCs w:val="28"/>
          </w:rPr>
          <m:t>α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постройте совмещенные графики функций распределения биномиальных законов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B(k,p)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</m:t>
        </m:r>
        <m:bar>
          <m:bar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B(k,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bar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313A3E77" w14:textId="77777777" w:rsidR="00837C1F" w:rsidRDefault="00837C1F" w:rsidP="00837C1F">
      <w:pPr>
        <w:spacing w:line="360" w:lineRule="auto"/>
        <w:ind w:firstLine="567"/>
        <w:rPr>
          <w:rFonts w:ascii="Cambria Math" w:hAnsi="Cambria Math"/>
          <w:color w:val="0D0D0D" w:themeColor="text1" w:themeTint="F2"/>
          <w:sz w:val="28"/>
          <w:szCs w:val="28"/>
        </w:rPr>
      </w:pP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Сформулируйте выводы.</w:t>
      </w:r>
    </w:p>
    <w:p w14:paraId="7B80B438" w14:textId="4D88B095" w:rsidR="00530068" w:rsidRPr="0037657B" w:rsidRDefault="00837C1F">
      <w:pPr>
        <w:rPr>
          <w:sz w:val="28"/>
          <w:szCs w:val="28"/>
        </w:rPr>
      </w:pPr>
      <w:r>
        <w:rPr>
          <w:sz w:val="28"/>
          <w:szCs w:val="28"/>
        </w:rPr>
        <w:t>Возьмём из задачи 2</w:t>
      </w:r>
      <w:r w:rsidR="0037657B" w:rsidRPr="0037657B">
        <w:rPr>
          <w:sz w:val="28"/>
          <w:szCs w:val="28"/>
        </w:rPr>
        <w:t xml:space="preserve"> </w:t>
      </w:r>
      <w:r w:rsidR="0037657B">
        <w:rPr>
          <w:sz w:val="28"/>
          <w:szCs w:val="28"/>
        </w:rPr>
        <w:t xml:space="preserve">значения </w:t>
      </w:r>
      <w:r w:rsidR="0037657B">
        <w:rPr>
          <w:sz w:val="28"/>
          <w:szCs w:val="28"/>
          <w:lang w:val="en-US"/>
        </w:rPr>
        <w:t>n</w:t>
      </w:r>
      <w:r w:rsidR="0037657B" w:rsidRPr="0037657B">
        <w:rPr>
          <w:sz w:val="28"/>
          <w:szCs w:val="28"/>
        </w:rPr>
        <w:t xml:space="preserve"> = 160, </w:t>
      </w:r>
      <w:r w:rsidR="0037657B">
        <w:rPr>
          <w:sz w:val="28"/>
          <w:szCs w:val="28"/>
          <w:lang w:val="en-US"/>
        </w:rPr>
        <w:t>k</w:t>
      </w:r>
      <w:r w:rsidR="0037657B" w:rsidRPr="0037657B">
        <w:rPr>
          <w:sz w:val="28"/>
          <w:szCs w:val="28"/>
        </w:rPr>
        <w:t xml:space="preserve"> = 15 </w:t>
      </w:r>
      <w:r w:rsidR="0037657B">
        <w:rPr>
          <w:sz w:val="28"/>
          <w:szCs w:val="28"/>
        </w:rPr>
        <w:t xml:space="preserve">и вектор </w:t>
      </w:r>
      <w:r w:rsidR="0037657B">
        <w:rPr>
          <w:sz w:val="28"/>
          <w:szCs w:val="28"/>
          <w:lang w:val="en-US"/>
        </w:rPr>
        <w:t>X</w:t>
      </w:r>
      <w:r w:rsidR="0037657B">
        <w:rPr>
          <w:sz w:val="28"/>
          <w:szCs w:val="28"/>
        </w:rPr>
        <w:t>:</w:t>
      </w:r>
    </w:p>
    <w:p w14:paraId="641A1D9A" w14:textId="65BBBF3E" w:rsidR="00837C1F" w:rsidRDefault="00837C1F" w:rsidP="00837C1F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274CC">
        <w:rPr>
          <w:sz w:val="28"/>
          <w:szCs w:val="28"/>
        </w:rPr>
        <w:t>^</w:t>
      </w:r>
      <w:r>
        <w:rPr>
          <w:sz w:val="28"/>
          <w:szCs w:val="28"/>
          <w:lang w:val="en-US"/>
        </w:rPr>
        <w:t>T</w:t>
      </w:r>
      <w:r w:rsidRPr="00E274CC">
        <w:rPr>
          <w:sz w:val="28"/>
          <w:szCs w:val="28"/>
        </w:rPr>
        <w:t xml:space="preserve"> = </w:t>
      </w:r>
      <w:r w:rsidRPr="00837C1F">
        <w:rPr>
          <w:sz w:val="28"/>
          <w:szCs w:val="28"/>
        </w:rPr>
        <w:t>[3, 5, 5, 4, 5, 7, 5, 3, 3, 4, 5, 0, 6, 5, 5, 5, 7, 8, 6, 5, 2, 4, 4, 7, 3, 5, 6, 4, 4, 3, 6, 3, 6, 6, 5, 4, 7, 4, 6, 3, 2, 6, 6, 7, 4, 8, 3, 5, 5, 5, 7, 5, 3, 4, 7, 3, 4, 4, 6, 5, 3, 7, 9, 5, 3, 10, 6, 4, 5, 7, 3, 4, 1, 1, 4, 7, 6, 4, 5, 5, 4, 4, 4, 3, 7, 7, 5, 6, 6, 3, 4, 5, 2, 2, 5, 8, 3, 5, 1, 5, 3, 4, 6, 3, 3, 4, 5, 4, 3, 5, 2, 1, 7, 7, 5, 4, 6, 2, 4, 7, 5, 2, 7, 4, 6, 5, 7, 6, 5, 2, 5, 6, 8, 3, 6, 2, 4, 3, 3, 6, 4, 7, 6, 4, 7, 1, 4, 5, 6, 3, 2, 8, 6, 5, 4, 5, 4, 3, 3, 4]</w:t>
      </w:r>
      <w:r w:rsidR="0037657B">
        <w:rPr>
          <w:sz w:val="28"/>
          <w:szCs w:val="28"/>
        </w:rPr>
        <w:t>.</w:t>
      </w:r>
    </w:p>
    <w:p w14:paraId="7C7D323A" w14:textId="7347DBFC" w:rsidR="00837C1F" w:rsidRPr="0037657B" w:rsidRDefault="00837C1F" w:rsidP="00837C1F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 xml:space="preserve">Получим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(p,α)</m:t>
        </m:r>
      </m:oMath>
      <w:r>
        <w:rPr>
          <w:sz w:val="28"/>
          <w:szCs w:val="28"/>
        </w:rPr>
        <w:t xml:space="preserve"> для </w:t>
      </w:r>
      <w:r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 xml:space="preserve">биномиального закона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k,p)</m:t>
        </m:r>
      </m:oMath>
      <w:r w:rsidR="0037657B" w:rsidRPr="0037657B">
        <w:rPr>
          <w:rFonts w:ascii="Cambria Math" w:eastAsiaTheme="minorEastAsia" w:hAnsi="Cambria Math"/>
          <w:color w:val="0D0D0D" w:themeColor="text1" w:themeTint="F2"/>
          <w:sz w:val="28"/>
          <w:szCs w:val="28"/>
        </w:rPr>
        <w:t>.</w:t>
      </w:r>
    </w:p>
    <w:p w14:paraId="4ABA3599" w14:textId="423DFBCF" w:rsidR="004677D2" w:rsidRDefault="004677D2" w:rsidP="00837C1F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14:paraId="5EF1FF5A" w14:textId="04DE00A8" w:rsidR="004677D2" w:rsidRDefault="004677D2" w:rsidP="00837C1F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14:paraId="53CBE228" w14:textId="4FAFEA0D" w:rsidR="004677D2" w:rsidRDefault="004677D2" w:rsidP="00837C1F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</w:p>
    <w:p w14:paraId="2AB2E68A" w14:textId="5E43BC7E" w:rsidR="004677D2" w:rsidRDefault="004677D2" w:rsidP="00837C1F">
      <w:pPr>
        <w:spacing w:before="240" w:after="0" w:line="360" w:lineRule="auto"/>
        <w:rPr>
          <w:rFonts w:ascii="Cambria Math" w:eastAsiaTheme="minorEastAsia" w:hAnsi="Cambria Math"/>
          <w:color w:val="0D0D0D" w:themeColor="text1" w:themeTint="F2"/>
          <w:sz w:val="28"/>
          <w:szCs w:val="28"/>
        </w:rPr>
      </w:pPr>
      <w:r w:rsidRPr="004677D2">
        <w:rPr>
          <w:rFonts w:ascii="Cambria Math" w:eastAsiaTheme="minorEastAsia" w:hAnsi="Cambria Math"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 wp14:anchorId="67A3207D" wp14:editId="782238C5">
            <wp:extent cx="1667108" cy="126700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F396E" w14:textId="6DADFDBC" w:rsidR="00837C1F" w:rsidRDefault="00094C1C" w:rsidP="00837C1F">
      <w:pPr>
        <w:rPr>
          <w:sz w:val="28"/>
          <w:szCs w:val="28"/>
        </w:rPr>
      </w:pPr>
      <w:r w:rsidRPr="00094C1C">
        <w:rPr>
          <w:noProof/>
          <w:sz w:val="28"/>
          <w:szCs w:val="28"/>
        </w:rPr>
        <w:drawing>
          <wp:inline distT="0" distB="0" distL="0" distR="0" wp14:anchorId="46EC0E02" wp14:editId="68E22E2D">
            <wp:extent cx="4372585" cy="191479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342" w14:textId="5BCAFDF0" w:rsidR="00837C1F" w:rsidRDefault="00837C1F" w:rsidP="00837C1F">
      <w:pPr>
        <w:rPr>
          <w:sz w:val="28"/>
          <w:szCs w:val="28"/>
        </w:rPr>
      </w:pPr>
      <w:r w:rsidRPr="00837C1F">
        <w:rPr>
          <w:noProof/>
          <w:sz w:val="28"/>
          <w:szCs w:val="28"/>
        </w:rPr>
        <w:drawing>
          <wp:inline distT="0" distB="0" distL="0" distR="0" wp14:anchorId="61144844" wp14:editId="4DD1C43E">
            <wp:extent cx="5731510" cy="34778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C7D1" w14:textId="600DBB61" w:rsidR="00837C1F" w:rsidRDefault="00837C1F" w:rsidP="00837C1F">
      <w:pPr>
        <w:rPr>
          <w:sz w:val="28"/>
          <w:szCs w:val="28"/>
        </w:rPr>
      </w:pPr>
      <w:r>
        <w:rPr>
          <w:sz w:val="28"/>
          <w:szCs w:val="28"/>
        </w:rPr>
        <w:t xml:space="preserve">Наконец, получим симметричные интервальные оценки </w:t>
      </w:r>
      <w:proofErr w:type="spellStart"/>
      <w:r>
        <w:rPr>
          <w:sz w:val="28"/>
          <w:szCs w:val="28"/>
        </w:rPr>
        <w:t>Клоппера</w:t>
      </w:r>
      <w:proofErr w:type="spellEnd"/>
      <w:r>
        <w:rPr>
          <w:sz w:val="28"/>
          <w:szCs w:val="28"/>
        </w:rPr>
        <w:t xml:space="preserve">-Пирсона </w:t>
      </w:r>
      <m:oMath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;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p</m:t>
                </m:r>
              </m:e>
            </m:bar>
          </m:e>
        </m:d>
      </m:oMath>
    </w:p>
    <w:p w14:paraId="6E356158" w14:textId="24D77EB0" w:rsidR="00837C1F" w:rsidRDefault="00094C1C" w:rsidP="00837C1F">
      <w:pPr>
        <w:rPr>
          <w:sz w:val="28"/>
          <w:szCs w:val="28"/>
        </w:rPr>
      </w:pPr>
      <w:r w:rsidRPr="00094C1C">
        <w:rPr>
          <w:noProof/>
          <w:sz w:val="28"/>
          <w:szCs w:val="28"/>
        </w:rPr>
        <w:lastRenderedPageBreak/>
        <w:drawing>
          <wp:inline distT="0" distB="0" distL="0" distR="0" wp14:anchorId="7A23E519" wp14:editId="4E18F501">
            <wp:extent cx="5106113" cy="343900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BBB1" w14:textId="55AE1E0C" w:rsidR="00837C1F" w:rsidRDefault="00837C1F" w:rsidP="00837C1F">
      <w:pPr>
        <w:rPr>
          <w:sz w:val="28"/>
          <w:szCs w:val="28"/>
        </w:rPr>
      </w:pPr>
      <w:r w:rsidRPr="00837C1F">
        <w:rPr>
          <w:noProof/>
          <w:sz w:val="28"/>
          <w:szCs w:val="28"/>
        </w:rPr>
        <w:drawing>
          <wp:inline distT="0" distB="0" distL="0" distR="0" wp14:anchorId="1E2FE1A0" wp14:editId="2DEF7026">
            <wp:extent cx="2162477" cy="167663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20BF" w14:textId="77777777" w:rsidR="00930D2E" w:rsidRPr="00930D2E" w:rsidRDefault="00837C1F" w:rsidP="00837C1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Теперь найдём доверительные интервалы по ЦПТ</w:t>
      </w:r>
      <w:r w:rsidR="00930D2E">
        <w:rPr>
          <w:sz w:val="28"/>
          <w:szCs w:val="28"/>
        </w:rPr>
        <w:t xml:space="preserve"> из тех соображений, что </w:t>
      </w:r>
      <m:oMath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-kp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kpq</m:t>
                </m:r>
              </m:e>
            </m:rad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="00930D2E" w:rsidRPr="00930D2E">
        <w:rPr>
          <w:rFonts w:eastAsiaTheme="minorEastAsia"/>
          <w:sz w:val="28"/>
          <w:szCs w:val="28"/>
        </w:rPr>
        <w:t xml:space="preserve">. </w:t>
      </w:r>
      <w:r w:rsidR="00930D2E">
        <w:rPr>
          <w:rFonts w:eastAsiaTheme="minorEastAsia"/>
          <w:sz w:val="28"/>
          <w:szCs w:val="28"/>
        </w:rPr>
        <w:t xml:space="preserve">Возьмём в дисперсии вместо </w:t>
      </w:r>
      <w:r w:rsidR="00930D2E">
        <w:rPr>
          <w:rFonts w:eastAsiaTheme="minorEastAsia"/>
          <w:sz w:val="28"/>
          <w:szCs w:val="28"/>
          <w:lang w:val="en-US"/>
        </w:rPr>
        <w:t>p</w:t>
      </w:r>
      <w:r w:rsidR="00930D2E" w:rsidRPr="00930D2E">
        <w:rPr>
          <w:rFonts w:eastAsiaTheme="minorEastAsia"/>
          <w:sz w:val="28"/>
          <w:szCs w:val="28"/>
        </w:rPr>
        <w:t xml:space="preserve"> </w:t>
      </w:r>
      <w:r w:rsidR="00930D2E">
        <w:rPr>
          <w:rFonts w:eastAsiaTheme="minorEastAsia"/>
          <w:sz w:val="28"/>
          <w:szCs w:val="28"/>
        </w:rPr>
        <w:t xml:space="preserve">и </w:t>
      </w:r>
      <w:r w:rsidR="00930D2E">
        <w:rPr>
          <w:rFonts w:eastAsiaTheme="minorEastAsia"/>
          <w:sz w:val="28"/>
          <w:szCs w:val="28"/>
          <w:lang w:val="en-US"/>
        </w:rPr>
        <w:t>q</w:t>
      </w:r>
      <w:r w:rsidR="00930D2E" w:rsidRPr="00930D2E">
        <w:rPr>
          <w:rFonts w:eastAsiaTheme="minorEastAsia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nk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930D2E" w:rsidRPr="00930D2E">
        <w:rPr>
          <w:rFonts w:eastAsiaTheme="minorEastAsia"/>
          <w:sz w:val="28"/>
          <w:szCs w:val="28"/>
        </w:rPr>
        <w:t xml:space="preserve"> </w:t>
      </w:r>
      <w:r w:rsidR="00930D2E">
        <w:rPr>
          <w:rFonts w:eastAsiaTheme="minorEastAsia"/>
          <w:sz w:val="28"/>
          <w:szCs w:val="28"/>
        </w:rPr>
        <w:t xml:space="preserve">и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=1-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</m:acc>
      </m:oMath>
      <w:r w:rsidR="00930D2E" w:rsidRPr="00930D2E">
        <w:rPr>
          <w:rFonts w:eastAsiaTheme="minorEastAsia"/>
          <w:sz w:val="28"/>
          <w:szCs w:val="28"/>
        </w:rPr>
        <w:t xml:space="preserve"> </w:t>
      </w:r>
      <w:r w:rsidR="00930D2E">
        <w:rPr>
          <w:rFonts w:eastAsiaTheme="minorEastAsia"/>
          <w:sz w:val="28"/>
          <w:szCs w:val="28"/>
        </w:rPr>
        <w:t>соответственно</w:t>
      </w:r>
      <w:r w:rsidR="00930D2E" w:rsidRPr="00930D2E">
        <w:rPr>
          <w:rFonts w:eastAsiaTheme="minorEastAsia"/>
          <w:sz w:val="28"/>
          <w:szCs w:val="28"/>
        </w:rPr>
        <w:t xml:space="preserve">. </w:t>
      </w:r>
      <w:r w:rsidR="00930D2E">
        <w:rPr>
          <w:rFonts w:eastAsiaTheme="minorEastAsia"/>
          <w:sz w:val="28"/>
          <w:szCs w:val="28"/>
        </w:rPr>
        <w:t xml:space="preserve">Тогда окончательно получим </w:t>
      </w:r>
    </w:p>
    <w:p w14:paraId="0F09797C" w14:textId="4E006123" w:rsidR="00930D2E" w:rsidRPr="00930D2E" w:rsidRDefault="00930D2E" w:rsidP="00837C1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-kp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acc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rad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sub>
          </m:sSub>
        </m:oMath>
      </m:oMathPara>
    </w:p>
    <w:p w14:paraId="7F9B4E95" w14:textId="4BFAD659" w:rsidR="00930D2E" w:rsidRDefault="00930D2E" w:rsidP="00837C1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Откуда следует неравенство для </w:t>
      </w:r>
      <w:r>
        <w:rPr>
          <w:rFonts w:eastAsiaTheme="minorEastAsia"/>
          <w:sz w:val="28"/>
          <w:szCs w:val="28"/>
          <w:lang w:val="en-US"/>
        </w:rPr>
        <w:t>p</w:t>
      </w:r>
    </w:p>
    <w:p w14:paraId="70FDF9DB" w14:textId="369D9AFF" w:rsidR="00930D2E" w:rsidRPr="00930D2E" w:rsidRDefault="00930D2E" w:rsidP="00837C1F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&lt;p&lt;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acc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den>
          </m:f>
        </m:oMath>
      </m:oMathPara>
    </w:p>
    <w:p w14:paraId="3D002DB4" w14:textId="05D7C0C6" w:rsidR="0037657B" w:rsidRDefault="0037657B" w:rsidP="00837C1F">
      <w:pPr>
        <w:rPr>
          <w:sz w:val="28"/>
          <w:szCs w:val="28"/>
        </w:rPr>
      </w:pPr>
      <w:r w:rsidRPr="0037657B">
        <w:rPr>
          <w:noProof/>
          <w:sz w:val="28"/>
          <w:szCs w:val="28"/>
        </w:rPr>
        <w:drawing>
          <wp:inline distT="0" distB="0" distL="0" distR="0" wp14:anchorId="410B2FD1" wp14:editId="65362E21">
            <wp:extent cx="3762900" cy="54300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CD2F" w14:textId="5618049C" w:rsidR="00837C1F" w:rsidRDefault="00094C1C" w:rsidP="00837C1F">
      <w:pPr>
        <w:rPr>
          <w:sz w:val="28"/>
          <w:szCs w:val="28"/>
        </w:rPr>
      </w:pPr>
      <w:r w:rsidRPr="00094C1C">
        <w:rPr>
          <w:noProof/>
          <w:sz w:val="28"/>
          <w:szCs w:val="28"/>
        </w:rPr>
        <w:lastRenderedPageBreak/>
        <w:drawing>
          <wp:inline distT="0" distB="0" distL="0" distR="0" wp14:anchorId="7275BC25" wp14:editId="29BFD1BA">
            <wp:extent cx="4020111" cy="4610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D055" w14:textId="1F29DA6F" w:rsidR="00837C1F" w:rsidRDefault="00094C1C" w:rsidP="00837C1F">
      <w:pPr>
        <w:rPr>
          <w:sz w:val="28"/>
          <w:szCs w:val="28"/>
        </w:rPr>
      </w:pPr>
      <w:r w:rsidRPr="00094C1C">
        <w:rPr>
          <w:noProof/>
          <w:sz w:val="28"/>
          <w:szCs w:val="28"/>
        </w:rPr>
        <w:drawing>
          <wp:inline distT="0" distB="0" distL="0" distR="0" wp14:anchorId="23ADA446" wp14:editId="5783E400">
            <wp:extent cx="2362530" cy="1790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EA7" w14:textId="77777777" w:rsidR="00837C1F" w:rsidRPr="00C733C9" w:rsidRDefault="00A735EB" w:rsidP="00837C1F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Построим совмещённые графики функций распределения биномиальных законов </w:t>
      </w:r>
      <w:r w:rsidR="00C733C9">
        <w:rPr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</w:rPr>
          <m:t>α=0.1</m:t>
        </m:r>
      </m:oMath>
    </w:p>
    <w:p w14:paraId="7FF791FB" w14:textId="259F1A18" w:rsidR="00837C1F" w:rsidRDefault="00C733C9" w:rsidP="00837C1F">
      <w:pPr>
        <w:rPr>
          <w:sz w:val="28"/>
          <w:szCs w:val="28"/>
        </w:rPr>
      </w:pPr>
      <w:r w:rsidRPr="00C733C9">
        <w:rPr>
          <w:noProof/>
          <w:sz w:val="28"/>
          <w:szCs w:val="28"/>
        </w:rPr>
        <w:drawing>
          <wp:inline distT="0" distB="0" distL="0" distR="0" wp14:anchorId="1AA90617" wp14:editId="1E470532">
            <wp:extent cx="5731510" cy="110934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6C5" w14:textId="03D17BF6" w:rsidR="00C733C9" w:rsidRDefault="00C733C9" w:rsidP="00837C1F">
      <w:pPr>
        <w:rPr>
          <w:sz w:val="28"/>
          <w:szCs w:val="28"/>
        </w:rPr>
      </w:pPr>
      <w:r w:rsidRPr="00C733C9">
        <w:rPr>
          <w:noProof/>
          <w:sz w:val="28"/>
          <w:szCs w:val="28"/>
        </w:rPr>
        <w:lastRenderedPageBreak/>
        <w:drawing>
          <wp:inline distT="0" distB="0" distL="0" distR="0" wp14:anchorId="360BBEA9" wp14:editId="0BC44681">
            <wp:extent cx="5731510" cy="1065530"/>
            <wp:effectExtent l="0" t="0" r="254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4F95" w14:textId="37EF3E3C" w:rsidR="00C733C9" w:rsidRPr="00837C1F" w:rsidRDefault="00C733C9" w:rsidP="00837C1F">
      <w:pPr>
        <w:rPr>
          <w:sz w:val="28"/>
          <w:szCs w:val="28"/>
        </w:rPr>
      </w:pPr>
      <w:r w:rsidRPr="00C733C9">
        <w:rPr>
          <w:noProof/>
          <w:sz w:val="28"/>
          <w:szCs w:val="28"/>
        </w:rPr>
        <w:drawing>
          <wp:inline distT="0" distB="0" distL="0" distR="0" wp14:anchorId="5BF0C204" wp14:editId="42051821">
            <wp:extent cx="5731510" cy="110617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C1C" w:rsidRPr="00094C1C">
        <w:rPr>
          <w:noProof/>
          <w:sz w:val="28"/>
          <w:szCs w:val="28"/>
        </w:rPr>
        <w:drawing>
          <wp:inline distT="0" distB="0" distL="0" distR="0" wp14:anchorId="7033504C" wp14:editId="16FD75F7">
            <wp:extent cx="5731510" cy="350901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3C9" w:rsidRPr="00837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02D53"/>
    <w:multiLevelType w:val="hybridMultilevel"/>
    <w:tmpl w:val="3482CF66"/>
    <w:lvl w:ilvl="0" w:tplc="D8FE036A">
      <w:start w:val="1"/>
      <w:numFmt w:val="decimal"/>
      <w:lvlText w:val="%1)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BA"/>
    <w:rsid w:val="00094C1C"/>
    <w:rsid w:val="0037657B"/>
    <w:rsid w:val="004677D2"/>
    <w:rsid w:val="00530068"/>
    <w:rsid w:val="00837C1F"/>
    <w:rsid w:val="008E68BA"/>
    <w:rsid w:val="00930D2E"/>
    <w:rsid w:val="00A735EB"/>
    <w:rsid w:val="00C733C9"/>
    <w:rsid w:val="00E2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02A7"/>
  <w15:chartTrackingRefBased/>
  <w15:docId w15:val="{9DAE8CEC-4598-4E09-BF6C-C3BCB6A5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C1F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C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7C1F"/>
    <w:pPr>
      <w:spacing w:line="256" w:lineRule="auto"/>
      <w:ind w:left="720"/>
      <w:contextualSpacing/>
    </w:pPr>
    <w:rPr>
      <w:rFonts w:asciiTheme="minorHAnsi" w:hAnsiTheme="minorHAnsi" w:cstheme="minorBidi"/>
    </w:rPr>
  </w:style>
  <w:style w:type="character" w:styleId="a5">
    <w:name w:val="Placeholder Text"/>
    <w:basedOn w:val="a0"/>
    <w:uiPriority w:val="99"/>
    <w:semiHidden/>
    <w:rsid w:val="00C733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7</cp:revision>
  <dcterms:created xsi:type="dcterms:W3CDTF">2022-10-23T15:03:00Z</dcterms:created>
  <dcterms:modified xsi:type="dcterms:W3CDTF">2022-11-02T10:11:00Z</dcterms:modified>
</cp:coreProperties>
</file>