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46" w:rsidRPr="000268A8" w:rsidRDefault="000C7F46" w:rsidP="000268A8">
      <w:pPr>
        <w:ind w:left="360" w:firstLine="0"/>
        <w:rPr>
          <w:b/>
          <w:color w:val="000000"/>
          <w:kern w:val="24"/>
          <w:szCs w:val="28"/>
        </w:rPr>
      </w:pPr>
      <w:r w:rsidRPr="000268A8">
        <w:rPr>
          <w:b/>
          <w:color w:val="000000"/>
          <w:kern w:val="24"/>
          <w:szCs w:val="28"/>
        </w:rPr>
        <w:t>Вопросы по ИБ экзамен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num" w:pos="-142"/>
        </w:tabs>
        <w:ind w:hanging="436"/>
        <w:rPr>
          <w:sz w:val="28"/>
          <w:szCs w:val="28"/>
        </w:rPr>
      </w:pPr>
      <w:bookmarkStart w:id="0" w:name="_GoBack"/>
      <w:r w:rsidRPr="000268A8">
        <w:rPr>
          <w:color w:val="000000"/>
          <w:kern w:val="24"/>
          <w:sz w:val="28"/>
          <w:szCs w:val="28"/>
        </w:rPr>
        <w:t>Роль и место гуманитарных наук в системе глубинно-сущностного объяснения мира.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num" w:pos="-142"/>
        </w:tabs>
        <w:ind w:hanging="436"/>
        <w:rPr>
          <w:sz w:val="28"/>
          <w:szCs w:val="28"/>
        </w:rPr>
      </w:pPr>
      <w:r w:rsidRPr="000268A8">
        <w:rPr>
          <w:color w:val="000000"/>
          <w:kern w:val="24"/>
          <w:sz w:val="28"/>
          <w:szCs w:val="28"/>
        </w:rPr>
        <w:t>Исторические аспекты развития концепции  информационных войн.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num" w:pos="-142"/>
        </w:tabs>
        <w:ind w:hanging="436"/>
        <w:rPr>
          <w:sz w:val="28"/>
          <w:szCs w:val="28"/>
        </w:rPr>
      </w:pPr>
      <w:r w:rsidRPr="000268A8">
        <w:rPr>
          <w:color w:val="000000"/>
          <w:kern w:val="24"/>
          <w:sz w:val="28"/>
          <w:szCs w:val="28"/>
        </w:rPr>
        <w:t>Поведенческая война, как новый этап информационного противоборства.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bCs/>
          <w:color w:val="000000"/>
          <w:kern w:val="24"/>
          <w:sz w:val="28"/>
          <w:szCs w:val="28"/>
        </w:rPr>
        <w:t>Первая мировая война.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bCs/>
          <w:color w:val="000000"/>
          <w:kern w:val="24"/>
          <w:sz w:val="28"/>
          <w:szCs w:val="28"/>
        </w:rPr>
        <w:t>Период между первой и второй мировыми войнами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rFonts w:eastAsia="Calibri"/>
          <w:bCs/>
          <w:color w:val="000000"/>
          <w:kern w:val="24"/>
          <w:sz w:val="28"/>
          <w:szCs w:val="28"/>
        </w:rPr>
        <w:t>Вторая мировая война.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rFonts w:eastAsia="Calibri"/>
          <w:bCs/>
          <w:color w:val="000000"/>
          <w:kern w:val="24"/>
          <w:sz w:val="28"/>
          <w:szCs w:val="28"/>
        </w:rPr>
        <w:t>Почему СССР победил во второй мировой войне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rFonts w:eastAsia="Calibri"/>
          <w:bCs/>
          <w:color w:val="000000"/>
          <w:kern w:val="24"/>
          <w:sz w:val="28"/>
          <w:szCs w:val="28"/>
        </w:rPr>
        <w:t>Период между второй и третьей мировыми войнами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rFonts w:eastAsia="Calibri"/>
          <w:bCs/>
          <w:color w:val="000000"/>
          <w:kern w:val="24"/>
          <w:sz w:val="28"/>
          <w:szCs w:val="28"/>
        </w:rPr>
        <w:t>Третья мировая война.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 xml:space="preserve">Интерес к сектам и оккультным </w:t>
      </w:r>
      <w:proofErr w:type="spellStart"/>
      <w:r w:rsidRPr="000268A8">
        <w:rPr>
          <w:sz w:val="28"/>
          <w:szCs w:val="28"/>
        </w:rPr>
        <w:t>псевдооздоровительным</w:t>
      </w:r>
      <w:proofErr w:type="spellEnd"/>
      <w:r w:rsidRPr="000268A8">
        <w:rPr>
          <w:sz w:val="28"/>
          <w:szCs w:val="28"/>
        </w:rPr>
        <w:t xml:space="preserve"> практикам.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>Профиль пользователя Интернета.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>Секты в Интернете.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>Методы работы вербовщиков ДАИШ.</w:t>
      </w:r>
      <w:r w:rsidRPr="000268A8">
        <w:rPr>
          <w:sz w:val="28"/>
          <w:szCs w:val="28"/>
        </w:rPr>
        <w:tab/>
      </w:r>
    </w:p>
    <w:p w:rsidR="00785BF8" w:rsidRPr="000268A8" w:rsidRDefault="000C7F46" w:rsidP="000268A8">
      <w:pPr>
        <w:pStyle w:val="a3"/>
        <w:numPr>
          <w:ilvl w:val="0"/>
          <w:numId w:val="9"/>
        </w:numPr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>Реализация технологий формирования и управления поведением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>Сущность социальной инженерии и ее место в социальном проектировании.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 xml:space="preserve">Основная схема воздействия в социальной инженерии 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>Основные отличия социальной инженерии от социального программирования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 xml:space="preserve">Об истории социальной инженерии 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sz w:val="28"/>
          <w:szCs w:val="28"/>
        </w:rPr>
      </w:pPr>
      <w:r w:rsidRPr="000268A8">
        <w:rPr>
          <w:sz w:val="28"/>
          <w:szCs w:val="28"/>
        </w:rPr>
        <w:t>Основные области применения социальной инженерии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rFonts w:eastAsiaTheme="minorEastAsia"/>
          <w:bCs/>
          <w:sz w:val="28"/>
          <w:szCs w:val="28"/>
        </w:rPr>
        <w:t>Возможность образования технических каналов утечки информации в системах, средствах информатизации и связи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rFonts w:eastAsiaTheme="minorHAnsi"/>
          <w:bCs/>
          <w:sz w:val="28"/>
          <w:szCs w:val="28"/>
        </w:rPr>
        <w:t>Модель технического канала утечки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rFonts w:eastAsiaTheme="minorHAnsi" w:cstheme="minorBidi"/>
          <w:bCs/>
          <w:sz w:val="28"/>
          <w:szCs w:val="28"/>
          <w:lang w:eastAsia="en-US"/>
        </w:rPr>
      </w:pPr>
      <w:r w:rsidRPr="000268A8">
        <w:rPr>
          <w:bCs/>
          <w:sz w:val="28"/>
          <w:szCs w:val="28"/>
        </w:rPr>
        <w:t>Определение размеров контролируемой зоны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rFonts w:eastAsiaTheme="minorEastAsia"/>
          <w:bCs/>
          <w:sz w:val="28"/>
          <w:szCs w:val="28"/>
        </w:rPr>
        <w:t>Побочные излучения технических средств обработки информации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rFonts w:eastAsiaTheme="minorEastAsia"/>
          <w:bCs/>
          <w:sz w:val="28"/>
          <w:szCs w:val="28"/>
        </w:rPr>
        <w:t>ПКУИ по цепям заземления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sz w:val="28"/>
          <w:szCs w:val="28"/>
        </w:rPr>
      </w:pPr>
      <w:r w:rsidRPr="000268A8">
        <w:rPr>
          <w:bCs/>
          <w:color w:val="000000"/>
          <w:kern w:val="24"/>
          <w:sz w:val="28"/>
          <w:szCs w:val="28"/>
          <w14:shadow w14:blurRad="38100" w14:dist="38100" w14:dir="2700000" w14:sx="100000" w14:sy="100000" w14:kx="0" w14:ky="0" w14:algn="tl">
            <w14:srgbClr w14:val="C0C0C0"/>
          </w14:shadow>
        </w:rPr>
        <w:t>Канал утечки по цепям электропитания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proofErr w:type="spellStart"/>
      <w:r w:rsidRPr="000268A8">
        <w:rPr>
          <w:rFonts w:eastAsiaTheme="minorEastAsia"/>
          <w:bCs/>
          <w:sz w:val="28"/>
          <w:szCs w:val="28"/>
        </w:rPr>
        <w:t>Виброакустический</w:t>
      </w:r>
      <w:proofErr w:type="spellEnd"/>
      <w:r w:rsidRPr="000268A8">
        <w:rPr>
          <w:rFonts w:eastAsiaTheme="minorEastAsia"/>
          <w:bCs/>
          <w:sz w:val="28"/>
          <w:szCs w:val="28"/>
        </w:rPr>
        <w:t xml:space="preserve"> канал утечки информации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rFonts w:eastAsiaTheme="minorEastAsia"/>
          <w:bCs/>
          <w:sz w:val="28"/>
          <w:szCs w:val="28"/>
        </w:rPr>
        <w:t>Высокочастотное облучение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rFonts w:eastAsiaTheme="minorEastAsia"/>
          <w:bCs/>
          <w:sz w:val="28"/>
          <w:szCs w:val="28"/>
        </w:rPr>
        <w:t>Высокочастотное навязывание</w:t>
      </w:r>
    </w:p>
    <w:p w:rsidR="000C7F46" w:rsidRPr="000268A8" w:rsidRDefault="000C7F46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rFonts w:eastAsiaTheme="minorEastAsia"/>
          <w:bCs/>
          <w:sz w:val="28"/>
          <w:szCs w:val="28"/>
        </w:rPr>
        <w:t>Меры защиты от ПКУИ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>Основные понятия криптографии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Алгебраические модели шифров.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Вероятностные модели шифров.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Математические модели открытых сообщений.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Теоретико-информационный подход к оценке </w:t>
      </w:r>
      <w:proofErr w:type="spellStart"/>
      <w:r w:rsidRPr="000268A8">
        <w:rPr>
          <w:bCs/>
          <w:sz w:val="28"/>
          <w:szCs w:val="28"/>
        </w:rPr>
        <w:t>криптостойкости</w:t>
      </w:r>
      <w:proofErr w:type="spellEnd"/>
      <w:r w:rsidRPr="000268A8">
        <w:rPr>
          <w:bCs/>
          <w:sz w:val="28"/>
          <w:szCs w:val="28"/>
        </w:rPr>
        <w:t xml:space="preserve"> шифров.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>Практическая стойкость шифров.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Имитостойкость шифров. Имитация и подмена сообщения.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Способы обеспечения </w:t>
      </w:r>
      <w:proofErr w:type="spellStart"/>
      <w:r w:rsidRPr="000268A8">
        <w:rPr>
          <w:bCs/>
          <w:sz w:val="28"/>
          <w:szCs w:val="28"/>
        </w:rPr>
        <w:t>имитостойкости</w:t>
      </w:r>
      <w:proofErr w:type="spellEnd"/>
      <w:r w:rsidRPr="000268A8">
        <w:rPr>
          <w:bCs/>
          <w:sz w:val="28"/>
          <w:szCs w:val="28"/>
        </w:rPr>
        <w:t>.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proofErr w:type="spellStart"/>
      <w:r w:rsidRPr="000268A8">
        <w:rPr>
          <w:bCs/>
          <w:sz w:val="28"/>
          <w:szCs w:val="28"/>
        </w:rPr>
        <w:lastRenderedPageBreak/>
        <w:t>Помехостойкость</w:t>
      </w:r>
      <w:proofErr w:type="spellEnd"/>
      <w:r w:rsidRPr="000268A8">
        <w:rPr>
          <w:bCs/>
          <w:sz w:val="28"/>
          <w:szCs w:val="28"/>
        </w:rPr>
        <w:t xml:space="preserve"> шифров.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>Практические вопросы повышения надежности.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>Виды симметричных шифров. Особенности программной и аппаратной реализации.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Принципы построения блочных шифров.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Современные блочные криптоалгоритмы.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>Принципы построения поточных шифров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Современные поточные криптоалгоритмы.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Режимы использования шифров.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Математические основы асимметричной криптографии.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Криптосистема RSA.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Взаимосвязь компонентов RSA.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>Криптосистема Эль-</w:t>
      </w:r>
      <w:proofErr w:type="spellStart"/>
      <w:r w:rsidRPr="000268A8">
        <w:rPr>
          <w:bCs/>
          <w:sz w:val="28"/>
          <w:szCs w:val="28"/>
        </w:rPr>
        <w:t>Гамаля</w:t>
      </w:r>
      <w:proofErr w:type="spellEnd"/>
      <w:r w:rsidRPr="000268A8">
        <w:rPr>
          <w:bCs/>
          <w:sz w:val="28"/>
          <w:szCs w:val="28"/>
        </w:rPr>
        <w:t xml:space="preserve">. </w:t>
      </w:r>
    </w:p>
    <w:p w:rsidR="000268A8" w:rsidRPr="000268A8" w:rsidRDefault="000268A8" w:rsidP="000268A8">
      <w:pPr>
        <w:pStyle w:val="a3"/>
        <w:numPr>
          <w:ilvl w:val="0"/>
          <w:numId w:val="9"/>
        </w:numPr>
        <w:tabs>
          <w:tab w:val="left" w:pos="5475"/>
        </w:tabs>
        <w:ind w:hanging="436"/>
        <w:rPr>
          <w:bCs/>
          <w:sz w:val="28"/>
          <w:szCs w:val="28"/>
        </w:rPr>
      </w:pPr>
      <w:r w:rsidRPr="000268A8">
        <w:rPr>
          <w:bCs/>
          <w:sz w:val="28"/>
          <w:szCs w:val="28"/>
        </w:rPr>
        <w:t xml:space="preserve">Криптосистема Рабина. </w:t>
      </w:r>
    </w:p>
    <w:bookmarkEnd w:id="0"/>
    <w:p w:rsidR="000C7F46" w:rsidRPr="000268A8" w:rsidRDefault="000C7F46" w:rsidP="000268A8">
      <w:pPr>
        <w:tabs>
          <w:tab w:val="left" w:pos="5475"/>
        </w:tabs>
        <w:spacing w:line="240" w:lineRule="auto"/>
        <w:ind w:left="284" w:firstLine="0"/>
        <w:rPr>
          <w:bCs/>
          <w:szCs w:val="28"/>
        </w:rPr>
      </w:pPr>
      <w:r w:rsidRPr="000268A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BB2E1" wp14:editId="0C5A4D30">
                <wp:simplePos x="0" y="0"/>
                <wp:positionH relativeFrom="column">
                  <wp:posOffset>-927735</wp:posOffset>
                </wp:positionH>
                <wp:positionV relativeFrom="paragraph">
                  <wp:posOffset>-6803390</wp:posOffset>
                </wp:positionV>
                <wp:extent cx="6188075" cy="457200"/>
                <wp:effectExtent l="0" t="0" r="0" b="0"/>
                <wp:wrapNone/>
                <wp:docPr id="1434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807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C7F46" w:rsidRDefault="000C7F46"/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left:0;text-align:left;margin-left:-73.05pt;margin-top:-535.7pt;width:487.25pt;height:36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" filled="f" fillcolor="#4f81bd [3204]" stroked="f" strokecolor="black [3213]">
                <v:shadow color="#eeece1 [3214]"/>
                <v:textbox style="mso-fit-shape-to-text:t">
                  <w:txbxContent>
                    <w:p w:rsidR="000C7F46" w:rsidRDefault="000C7F46"/>
                  </w:txbxContent>
                </v:textbox>
              </v:rect>
            </w:pict>
          </mc:Fallback>
        </mc:AlternateContent>
      </w:r>
    </w:p>
    <w:sectPr w:rsidR="000C7F46" w:rsidRPr="00026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53857"/>
    <w:multiLevelType w:val="hybridMultilevel"/>
    <w:tmpl w:val="21449E88"/>
    <w:lvl w:ilvl="0" w:tplc="57C6C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86D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CE9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4EE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3CD7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CA21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66C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51274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182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981BFE"/>
    <w:multiLevelType w:val="hybridMultilevel"/>
    <w:tmpl w:val="235AA614"/>
    <w:lvl w:ilvl="0" w:tplc="7AB28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33090E"/>
    <w:multiLevelType w:val="hybridMultilevel"/>
    <w:tmpl w:val="C9147830"/>
    <w:lvl w:ilvl="0" w:tplc="7AB28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B426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28F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0A43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C6F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3430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6E0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B085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C0F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8F4D76"/>
    <w:multiLevelType w:val="hybridMultilevel"/>
    <w:tmpl w:val="E5D6EF6C"/>
    <w:lvl w:ilvl="0" w:tplc="881C16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B61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2A9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AC36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08A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04B8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3AD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82C9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FE6F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A565A"/>
    <w:multiLevelType w:val="hybridMultilevel"/>
    <w:tmpl w:val="F10CE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F1584"/>
    <w:multiLevelType w:val="hybridMultilevel"/>
    <w:tmpl w:val="3F24AC3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A33658"/>
    <w:multiLevelType w:val="hybridMultilevel"/>
    <w:tmpl w:val="0E5AD9D4"/>
    <w:lvl w:ilvl="0" w:tplc="504AC1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0AE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DE4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9400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50F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269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812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14D8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2C79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5F4C2A"/>
    <w:multiLevelType w:val="hybridMultilevel"/>
    <w:tmpl w:val="A41C4B74"/>
    <w:lvl w:ilvl="0" w:tplc="7AB28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0F7DF9"/>
    <w:multiLevelType w:val="hybridMultilevel"/>
    <w:tmpl w:val="1D92EFDA"/>
    <w:lvl w:ilvl="0" w:tplc="36641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444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0CEA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3C14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EAD4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369A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C859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5A7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AAF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46"/>
    <w:rsid w:val="000268A8"/>
    <w:rsid w:val="000C7F46"/>
    <w:rsid w:val="003240D4"/>
    <w:rsid w:val="00785BF8"/>
    <w:rsid w:val="00CB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1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F46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C7F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D1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7F46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C7F4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4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3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</dc:creator>
  <cp:lastModifiedBy>wlad</cp:lastModifiedBy>
  <cp:revision>1</cp:revision>
  <dcterms:created xsi:type="dcterms:W3CDTF">2020-05-12T11:09:00Z</dcterms:created>
  <dcterms:modified xsi:type="dcterms:W3CDTF">2020-05-12T12:40:00Z</dcterms:modified>
</cp:coreProperties>
</file>