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SME ბიზნეს მრჩეველი</w:t>
      </w:r>
      <w:r>
        <w:br/>
      </w:r>
      <w:r>
        <w:t xml:space="preserve">Bank of Georgia</w:t>
      </w:r>
      <w:r>
        <w:br/>
      </w:r>
      <w:r>
        <w:t xml:space="preserve">2021 – present</w:t>
      </w:r>
    </w:p>
    <w:tbl>
      <w:tr>
        <w:tc>
          <w:p>
            <w:r>
              <w:t xml:space="preserve">Credit analyst</w:t>
            </w:r>
          </w:p>
        </w:tc>
        <w:tc>
          <w:p>
            <w:r>
              <w:t xml:space="preserve">TBC Bank</w:t>
            </w:r>
          </w:p>
        </w:tc>
      </w:tr>
    </w:tbl>
    <w:p>
      <w:r>
        <w:t xml:space="preserve">Skills &amp; tools</w:t>
      </w:r>
    </w:p>
  </w:body>
</w:document>
</file>