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Display" w:hAnsi="Aptos Display"/>
          <w:b/>
          <w:color w:val="111118"/>
          <w:sz w:val="92"/>
        </w:rPr>
        <w:t>BRITMEOW</w:t>
      </w:r>
    </w:p>
    <w:p>
      <w:pPr>
        <w:jc w:val="center"/>
      </w:pPr>
      <w:r>
        <w:rPr>
          <w:b/>
          <w:color w:val="FF3FA4"/>
          <w:sz w:val="36"/>
        </w:rPr>
        <w:t>Creator-Led Fan Experiences, Collectibles &amp; Direct Commerce</w:t>
      </w:r>
    </w:p>
    <w:p>
      <w:pPr>
        <w:jc w:val="center"/>
      </w:pPr>
      <w:r>
        <w:rPr>
          <w:color w:val="65606A"/>
          <w:sz w:val="24"/>
        </w:rPr>
        <w:t>Whitepaper / Working Operating Model</w:t>
      </w:r>
    </w:p>
    <w:tbl>
      <w:tblPr>
        <w:tblW w:type="auto" w:w="0"/>
        <w:jc w:val="center"/>
        <w:tblLook w:firstColumn="1" w:firstRow="1" w:lastColumn="0" w:lastRow="0" w:noHBand="0" w:noVBand="1" w:val="04A0"/>
      </w:tblPr>
      <w:tblGrid>
        <w:gridCol w:w="10166"/>
      </w:tblGrid>
      <w:tr>
        <w:tc>
          <w:tcPr>
            <w:tcW w:type="dxa" w:w="10166"/>
            <w:shd w:fill="111118"/>
            <w:tcMar>
              <w:top w:w="360" w:type="dxa"/>
              <w:start w:w="420" w:type="dxa"/>
              <w:bottom w:w="360" w:type="dxa"/>
              <w:end w:w="420" w:type="dxa"/>
            </w:tcMar>
          </w:tcPr>
          <w:p>
            <w:pPr>
              <w:jc w:val="center"/>
            </w:pPr>
            <w:r>
              <w:rPr>
                <w:b/>
                <w:color w:val="FFFFFF"/>
                <w:sz w:val="36"/>
              </w:rPr>
              <w:t>A direct, creator-controlled fan business that turns attention into structured experiences, limited releases, requests, and trusted commerce.</w:t>
            </w:r>
          </w:p>
          <w:p>
            <w:pPr>
              <w:jc w:val="center"/>
            </w:pPr>
            <w:r>
              <w:rPr>
                <w:color w:val="FF77C8"/>
                <w:sz w:val="22"/>
              </w:rPr>
              <w:t>Built to keep the creator in control of the audience, the brand, the fulfillment, and the revenue.</w:t>
            </w:r>
          </w:p>
        </w:tc>
      </w:tr>
    </w:tbl>
    <w:p/>
    <w:tbl>
      <w:tblPr>
        <w:tblW w:type="auto" w:w="0"/>
        <w:jc w:val="center"/>
        <w:tblLook w:firstColumn="1" w:firstRow="1" w:lastColumn="0" w:lastRow="0" w:noHBand="0" w:noVBand="1" w:val="04A0"/>
      </w:tblPr>
      <w:tblGrid>
        <w:gridCol w:w="5083"/>
        <w:gridCol w:w="5083"/>
      </w:tblGrid>
      <w:tr>
        <w:tc>
          <w:tcPr>
            <w:tcW w:type="dxa" w:w="5083"/>
            <w:tcMar>
              <w:top w:w="100" w:type="dxa"/>
              <w:start w:w="160" w:type="dxa"/>
              <w:bottom w:w="100" w:type="dxa"/>
              <w:end w:w="160" w:type="dxa"/>
            </w:tcMar>
            <w:shd w:fill="F6F3F8"/>
          </w:tcPr>
          <w:p>
            <w:r>
              <w:rPr>
                <w:b/>
                <w:color w:val="FF3FA4"/>
                <w:sz w:val="16"/>
              </w:rPr>
              <w:t>STATUS</w:t>
              <w:br/>
            </w:r>
            <w:r>
              <w:rPr>
                <w:color w:val="111118"/>
                <w:sz w:val="19"/>
              </w:rPr>
              <w:t>Concept and operating blueprint</w:t>
            </w:r>
          </w:p>
        </w:tc>
        <w:tc>
          <w:tcPr>
            <w:tcW w:type="dxa" w:w="5083"/>
            <w:tcMar>
              <w:top w:w="100" w:type="dxa"/>
              <w:start w:w="160" w:type="dxa"/>
              <w:bottom w:w="100" w:type="dxa"/>
              <w:end w:w="160" w:type="dxa"/>
            </w:tcMar>
            <w:shd w:fill="F6F3F8"/>
          </w:tcPr>
          <w:p>
            <w:r>
              <w:rPr>
                <w:b/>
                <w:color w:val="FF3FA4"/>
                <w:sz w:val="16"/>
              </w:rPr>
              <w:t>VERSION</w:t>
              <w:br/>
            </w:r>
            <w:r>
              <w:rPr>
                <w:color w:val="111118"/>
                <w:sz w:val="19"/>
              </w:rPr>
              <w:t>0.1 - July 2026</w:t>
            </w:r>
          </w:p>
        </w:tc>
      </w:tr>
      <w:tr>
        <w:tc>
          <w:tcPr>
            <w:tcW w:type="dxa" w:w="5083"/>
            <w:tcMar>
              <w:top w:w="100" w:type="dxa"/>
              <w:start w:w="160" w:type="dxa"/>
              <w:bottom w:w="100" w:type="dxa"/>
              <w:end w:w="160" w:type="dxa"/>
            </w:tcMar>
            <w:shd w:fill="F6F3F8"/>
          </w:tcPr>
          <w:p>
            <w:r>
              <w:rPr>
                <w:b/>
                <w:color w:val="FF3FA4"/>
                <w:sz w:val="16"/>
              </w:rPr>
              <w:t>OWNER</w:t>
              <w:br/>
            </w:r>
            <w:r>
              <w:rPr>
                <w:color w:val="111118"/>
                <w:sz w:val="19"/>
              </w:rPr>
              <w:t>BritMeow / Creator-led venture</w:t>
            </w:r>
          </w:p>
        </w:tc>
        <w:tc>
          <w:tcPr>
            <w:tcW w:type="dxa" w:w="5083"/>
            <w:tcMar>
              <w:top w:w="100" w:type="dxa"/>
              <w:start w:w="160" w:type="dxa"/>
              <w:bottom w:w="100" w:type="dxa"/>
              <w:end w:w="160" w:type="dxa"/>
            </w:tcMar>
            <w:shd w:fill="F6F3F8"/>
          </w:tcPr>
          <w:p>
            <w:r>
              <w:rPr>
                <w:b/>
                <w:color w:val="FF3FA4"/>
                <w:sz w:val="16"/>
              </w:rPr>
              <w:t>PURPOSE</w:t>
              <w:br/>
            </w:r>
            <w:r>
              <w:rPr>
                <w:color w:val="111118"/>
                <w:sz w:val="19"/>
              </w:rPr>
              <w:t>Brand, product, monetization and rollout alignment</w:t>
            </w:r>
          </w:p>
        </w:tc>
      </w:tr>
    </w:tbl>
    <w:p>
      <w:r>
        <w:br w:type="page"/>
      </w:r>
    </w:p>
    <w:p>
      <w:pPr>
        <w:spacing w:before="40" w:after="80"/>
      </w:pPr>
      <w:r>
        <w:rPr>
          <w:rFonts w:ascii="Aptos" w:hAnsi="Aptos"/>
          <w:b/>
          <w:color w:val="FF3FA4"/>
          <w:sz w:val="18"/>
        </w:rPr>
        <w:t>01 / EXECUTIVE SUMMARY</w:t>
      </w:r>
    </w:p>
    <w:p>
      <w:pPr>
        <w:pStyle w:val="Heading1"/>
      </w:pPr>
      <w:r>
        <w:t>What BritMeow is building</w:t>
      </w:r>
    </w:p>
    <w:p>
      <w:r>
        <w:t>BritMeow is a creator-led direct-to-fan brand designed around one simple principle: the audience should be able to support, access, and collect from the creator through clear, structured offers rather than scattered links, untracked DMs, or platform-controlled monetization. The model combines limited fan experiences, collectible releases, request-based offers, official merchandise routing, and a consistent social/content engine.</w:t>
      </w:r>
    </w:p>
    <w:p>
      <w:pPr>
        <w:pStyle w:val="Heading2"/>
      </w:pPr>
      <w:r>
        <w:t>The thesis</w:t>
      </w:r>
    </w:p>
    <w:p>
      <w:r>
        <w:t>Traditional creator monetization is fragmented. Fans move between social platforms, payment links, inboxes, online stores, resale groups, and informal requests. That makes the experience confusing for supporters and difficult for the creator to control, price, verify, or scale. BritMeow consolidates the relationship into a recognizable creator brand with transparent offers, defined fulfillment, and repeatable revenue mechanics.</w:t>
      </w:r>
    </w:p>
    <w:tbl>
      <w:tblPr>
        <w:tblW w:type="auto" w:w="0"/>
        <w:jc w:val="center"/>
        <w:tblLook w:firstColumn="1" w:firstRow="1" w:lastColumn="0" w:lastRow="0" w:noHBand="0" w:noVBand="1" w:val="04A0"/>
      </w:tblPr>
      <w:tblGrid>
        <w:gridCol w:w="3389"/>
        <w:gridCol w:w="3389"/>
        <w:gridCol w:w="3389"/>
      </w:tblGrid>
      <w:tr>
        <w:tc>
          <w:tcPr>
            <w:tcW w:type="dxa" w:w="3389"/>
            <w:shd w:fill="F6F3F8"/>
            <w:tcMar>
              <w:top w:w="160" w:type="dxa"/>
              <w:start w:w="140" w:type="dxa"/>
              <w:bottom w:w="160" w:type="dxa"/>
              <w:end w:w="140" w:type="dxa"/>
            </w:tcMar>
            <w:vAlign w:val="top"/>
          </w:tcPr>
          <w:p>
            <w:r>
              <w:rPr>
                <w:b/>
                <w:color w:val="FF3FA4"/>
                <w:sz w:val="22"/>
              </w:rPr>
              <w:t>DIRECT</w:t>
              <w:br/>
            </w:r>
            <w:r>
              <w:rPr>
                <w:sz w:val="18"/>
              </w:rPr>
              <w:t>A branded home for offers, fan requests, releases, and updates.</w:t>
            </w:r>
          </w:p>
        </w:tc>
        <w:tc>
          <w:tcPr>
            <w:tcW w:type="dxa" w:w="3389"/>
            <w:shd w:fill="F6F3F8"/>
            <w:tcMar>
              <w:top w:w="160" w:type="dxa"/>
              <w:start w:w="140" w:type="dxa"/>
              <w:bottom w:w="160" w:type="dxa"/>
              <w:end w:w="140" w:type="dxa"/>
            </w:tcMar>
            <w:vAlign w:val="top"/>
          </w:tcPr>
          <w:p>
            <w:r>
              <w:rPr>
                <w:b/>
                <w:color w:val="FF3FA4"/>
                <w:sz w:val="22"/>
              </w:rPr>
              <w:t>STRUCTURED</w:t>
              <w:br/>
            </w:r>
            <w:r>
              <w:rPr>
                <w:sz w:val="18"/>
              </w:rPr>
              <w:t>Clear terms, limited inventory, eligibility rules, fulfillment workflows.</w:t>
            </w:r>
          </w:p>
        </w:tc>
        <w:tc>
          <w:tcPr>
            <w:tcW w:type="dxa" w:w="3389"/>
            <w:shd w:fill="F6F3F8"/>
            <w:tcMar>
              <w:top w:w="160" w:type="dxa"/>
              <w:start w:w="140" w:type="dxa"/>
              <w:bottom w:w="160" w:type="dxa"/>
              <w:end w:w="140" w:type="dxa"/>
            </w:tcMar>
            <w:vAlign w:val="top"/>
          </w:tcPr>
          <w:p>
            <w:r>
              <w:rPr>
                <w:b/>
                <w:color w:val="FF3FA4"/>
                <w:sz w:val="22"/>
              </w:rPr>
              <w:t>CREATOR-LED</w:t>
              <w:br/>
            </w:r>
            <w:r>
              <w:rPr>
                <w:sz w:val="18"/>
              </w:rPr>
              <w:t>The creator remains central to selection, boundaries, brand voice, and approvals.</w:t>
            </w:r>
          </w:p>
        </w:tc>
      </w:tr>
    </w:tbl>
    <w:tbl>
      <w:tblPr>
        <w:tblW w:type="auto" w:w="0"/>
        <w:jc w:val="left"/>
        <w:tblLayout w:type="fixed"/>
        <w:tblLook w:firstColumn="1" w:firstRow="1" w:lastColumn="0" w:lastRow="0" w:noHBand="0" w:noVBand="1" w:val="04A0"/>
      </w:tblPr>
      <w:tblGrid>
        <w:gridCol w:w="9792"/>
      </w:tblGrid>
      <w:tr>
        <w:tc>
          <w:tcPr>
            <w:tcW w:type="dxa" w:w="10166"/>
            <w:shd w:fill="FF3FA4"/>
            <w:tcMar>
              <w:top w:w="10" w:type="dxa"/>
              <w:start w:w="0" w:type="dxa"/>
              <w:bottom w:w="10" w:type="dxa"/>
              <w:end w:w="0" w:type="dxa"/>
            </w:tcMar>
          </w:tcPr>
          <w:p>
            <w:pPr>
              <w:spacing w:after="0"/>
            </w:pPr>
          </w:p>
        </w:tc>
      </w:tr>
    </w:tbl>
    <w:p>
      <w:pPr>
        <w:pStyle w:val="Heading2"/>
      </w:pPr>
      <w:r>
        <w:t>Core proposition</w:t>
      </w:r>
    </w:p>
    <w:p>
      <w:r>
        <w:t>BritMeow creates paid, well-defined ways for fans to participate in the creator world - from collectible items and personalized requests to carefully structured public experiences. Each offer is designed as a product, not an ambiguous private arrangement: it has a clear description, price or entry mechanic, availability, eligibility requirements, fulfillment steps, and boundaries.</w:t>
      </w:r>
    </w:p>
    <w:p>
      <w:r>
        <w:br w:type="page"/>
      </w:r>
    </w:p>
    <w:p>
      <w:pPr>
        <w:spacing w:before="40" w:after="80"/>
      </w:pPr>
      <w:r>
        <w:rPr>
          <w:rFonts w:ascii="Aptos" w:hAnsi="Aptos"/>
          <w:b/>
          <w:color w:val="FF3FA4"/>
          <w:sz w:val="18"/>
        </w:rPr>
        <w:t>02 / MARKET PROBLEM &amp; AUDIENCE</w:t>
      </w:r>
    </w:p>
    <w:p>
      <w:pPr>
        <w:pStyle w:val="Heading1"/>
      </w:pPr>
      <w:r>
        <w:t>The problem BritMeow solves</w:t>
      </w:r>
    </w:p>
    <w:p>
      <w:pPr>
        <w:pStyle w:val="Heading2"/>
      </w:pPr>
      <w:r>
        <w:t>Fragmented fan paths</w:t>
      </w:r>
    </w:p>
    <w:p>
      <w:r>
        <w:t>Fans may discover a creator on one platform, ask questions in another, send money through a third, and receive no proof of what they purchased or when it will arrive.</w:t>
      </w:r>
    </w:p>
    <w:p>
      <w:pPr>
        <w:pStyle w:val="Heading2"/>
      </w:pPr>
      <w:r>
        <w:t>Unclear offers and boundaries</w:t>
      </w:r>
    </w:p>
    <w:p>
      <w:r>
        <w:t>When the offer is informal, expectations can drift. Clear product descriptions protect both the creator and supporters.</w:t>
      </w:r>
    </w:p>
    <w:p>
      <w:pPr>
        <w:pStyle w:val="Heading2"/>
      </w:pPr>
      <w:r>
        <w:t>Weak ownership of the audience</w:t>
      </w:r>
    </w:p>
    <w:p>
      <w:r>
        <w:t>Social platforms are distribution channels, not the business itself. BritMeow creates a recognizable destination and direct relationship.</w:t>
      </w:r>
    </w:p>
    <w:p>
      <w:pPr>
        <w:pStyle w:val="Heading2"/>
      </w:pPr>
      <w:r>
        <w:t>Limited repeatability</w:t>
      </w:r>
    </w:p>
    <w:p>
      <w:r>
        <w:t>One-off requests are hard to price, schedule, and fulfill. Productized offers can be improved, measured, and repeated.</w:t>
      </w:r>
    </w:p>
    <w:p>
      <w:pPr>
        <w:pStyle w:val="Heading2"/>
      </w:pPr>
      <w:r>
        <w:t>Audience segments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118"/>
          </w:tcPr>
          <w:p>
            <w:r>
              <w:rPr>
                <w:b/>
                <w:color w:val="FFFFFF"/>
                <w:sz w:val="18"/>
              </w:rPr>
              <w:t>Audience</w:t>
            </w:r>
          </w:p>
        </w:tc>
        <w:tc>
          <w:tcPr>
            <w:tcW w:type="dxa" w:w="3389"/>
            <w:shd w:fill="111118"/>
          </w:tcPr>
          <w:p>
            <w:r>
              <w:rPr>
                <w:b/>
                <w:color w:val="FFFFFF"/>
                <w:sz w:val="18"/>
              </w:rPr>
              <w:t>What they want</w:t>
            </w:r>
          </w:p>
        </w:tc>
        <w:tc>
          <w:tcPr>
            <w:tcW w:type="dxa" w:w="3389"/>
            <w:shd w:fill="111118"/>
          </w:tcPr>
          <w:p>
            <w:r>
              <w:rPr>
                <w:b/>
                <w:color w:val="FFFFFF"/>
                <w:sz w:val="18"/>
              </w:rPr>
              <w:t>Relevant BritMeow offers</w:t>
            </w:r>
          </w:p>
        </w:tc>
      </w:tr>
      <w:tr>
        <w:tc>
          <w:tcPr>
            <w:tcW w:type="dxa" w:w="3389"/>
            <w:tcMar>
              <w:top w:w="90" w:type="dxa"/>
              <w:start w:w="90" w:type="dxa"/>
              <w:bottom w:w="90" w:type="dxa"/>
              <w:end w:w="90" w:type="dxa"/>
            </w:tcMar>
          </w:tcPr>
          <w:p>
            <w:r>
              <w:rPr>
                <w:sz w:val="17"/>
              </w:rPr>
              <w:t>Core fans</w:t>
            </w:r>
          </w:p>
        </w:tc>
        <w:tc>
          <w:tcPr>
            <w:tcW w:type="dxa" w:w="3389"/>
            <w:tcMar>
              <w:top w:w="90" w:type="dxa"/>
              <w:start w:w="90" w:type="dxa"/>
              <w:bottom w:w="90" w:type="dxa"/>
              <w:end w:w="90" w:type="dxa"/>
            </w:tcMar>
          </w:tcPr>
          <w:p>
            <w:r>
              <w:rPr>
                <w:sz w:val="17"/>
              </w:rPr>
              <w:t>Closer participation, limited access, collectibles, recognition.</w:t>
            </w:r>
          </w:p>
        </w:tc>
        <w:tc>
          <w:tcPr>
            <w:tcW w:type="dxa" w:w="3389"/>
            <w:tcMar>
              <w:top w:w="90" w:type="dxa"/>
              <w:start w:w="90" w:type="dxa"/>
              <w:bottom w:w="90" w:type="dxa"/>
              <w:end w:w="90" w:type="dxa"/>
            </w:tcMar>
          </w:tcPr>
          <w:p>
            <w:r>
              <w:rPr>
                <w:sz w:val="17"/>
              </w:rPr>
              <w:t>Draw entries, personal-item auctions, limited merch, paid fan requests.</w:t>
            </w:r>
          </w:p>
        </w:tc>
      </w:tr>
      <w:tr>
        <w:tc>
          <w:tcPr>
            <w:tcW w:type="dxa" w:w="3389"/>
            <w:tcMar>
              <w:top w:w="90" w:type="dxa"/>
              <w:start w:w="90" w:type="dxa"/>
              <w:bottom w:w="90" w:type="dxa"/>
              <w:end w:w="90" w:type="dxa"/>
            </w:tcMar>
          </w:tcPr>
          <w:p>
            <w:r>
              <w:rPr>
                <w:sz w:val="17"/>
              </w:rPr>
              <w:t>Gift buyers</w:t>
            </w:r>
          </w:p>
        </w:tc>
        <w:tc>
          <w:tcPr>
            <w:tcW w:type="dxa" w:w="3389"/>
            <w:tcMar>
              <w:top w:w="90" w:type="dxa"/>
              <w:start w:w="90" w:type="dxa"/>
              <w:bottom w:w="90" w:type="dxa"/>
              <w:end w:w="90" w:type="dxa"/>
            </w:tcMar>
          </w:tcPr>
          <w:p>
            <w:r>
              <w:rPr>
                <w:sz w:val="17"/>
              </w:rPr>
              <w:t>A distinctive, easy-to-understand gift tied to a creator they follow.</w:t>
            </w:r>
          </w:p>
        </w:tc>
        <w:tc>
          <w:tcPr>
            <w:tcW w:type="dxa" w:w="3389"/>
            <w:tcMar>
              <w:top w:w="90" w:type="dxa"/>
              <w:start w:w="90" w:type="dxa"/>
              <w:bottom w:w="90" w:type="dxa"/>
              <w:end w:w="90" w:type="dxa"/>
            </w:tcMar>
          </w:tcPr>
          <w:p>
            <w:r>
              <w:rPr>
                <w:sz w:val="17"/>
              </w:rPr>
              <w:t>Official plush/merch routing, gift cards, limited bundles.</w:t>
            </w:r>
          </w:p>
        </w:tc>
      </w:tr>
      <w:tr>
        <w:tc>
          <w:tcPr>
            <w:tcW w:type="dxa" w:w="3389"/>
            <w:tcMar>
              <w:top w:w="90" w:type="dxa"/>
              <w:start w:w="90" w:type="dxa"/>
              <w:bottom w:w="90" w:type="dxa"/>
              <w:end w:w="90" w:type="dxa"/>
            </w:tcMar>
          </w:tcPr>
          <w:p>
            <w:r>
              <w:rPr>
                <w:sz w:val="17"/>
              </w:rPr>
              <w:t>Collectors</w:t>
            </w:r>
          </w:p>
        </w:tc>
        <w:tc>
          <w:tcPr>
            <w:tcW w:type="dxa" w:w="3389"/>
            <w:tcMar>
              <w:top w:w="90" w:type="dxa"/>
              <w:start w:w="90" w:type="dxa"/>
              <w:bottom w:w="90" w:type="dxa"/>
              <w:end w:w="90" w:type="dxa"/>
            </w:tcMar>
          </w:tcPr>
          <w:p>
            <w:r>
              <w:rPr>
                <w:sz w:val="17"/>
              </w:rPr>
              <w:t>Scarcity, provenance, authenticated provenance, story.</w:t>
            </w:r>
          </w:p>
        </w:tc>
        <w:tc>
          <w:tcPr>
            <w:tcW w:type="dxa" w:w="3389"/>
            <w:tcMar>
              <w:top w:w="90" w:type="dxa"/>
              <w:start w:w="90" w:type="dxa"/>
              <w:bottom w:w="90" w:type="dxa"/>
              <w:end w:w="90" w:type="dxa"/>
            </w:tcMar>
          </w:tcPr>
          <w:p>
            <w:r>
              <w:rPr>
                <w:sz w:val="17"/>
              </w:rPr>
              <w:t>Signed/personal items, numbered drops, auction certificates, release history.</w:t>
            </w:r>
          </w:p>
        </w:tc>
      </w:tr>
      <w:tr>
        <w:tc>
          <w:tcPr>
            <w:tcW w:type="dxa" w:w="3389"/>
            <w:tcMar>
              <w:top w:w="90" w:type="dxa"/>
              <w:start w:w="90" w:type="dxa"/>
              <w:bottom w:w="90" w:type="dxa"/>
              <w:end w:w="90" w:type="dxa"/>
            </w:tcMar>
          </w:tcPr>
          <w:p>
            <w:r>
              <w:rPr>
                <w:sz w:val="17"/>
              </w:rPr>
              <w:t>Brand and venue partners</w:t>
            </w:r>
          </w:p>
        </w:tc>
        <w:tc>
          <w:tcPr>
            <w:tcW w:type="dxa" w:w="3389"/>
            <w:tcMar>
              <w:top w:w="90" w:type="dxa"/>
              <w:start w:w="90" w:type="dxa"/>
              <w:bottom w:w="90" w:type="dxa"/>
              <w:end w:w="90" w:type="dxa"/>
            </w:tcMar>
          </w:tcPr>
          <w:p>
            <w:r>
              <w:rPr>
                <w:sz w:val="17"/>
              </w:rPr>
              <w:t>Reach, content, experiential campaigns.</w:t>
            </w:r>
          </w:p>
        </w:tc>
        <w:tc>
          <w:tcPr>
            <w:tcW w:type="dxa" w:w="3389"/>
            <w:tcMar>
              <w:top w:w="90" w:type="dxa"/>
              <w:start w:w="90" w:type="dxa"/>
              <w:bottom w:w="90" w:type="dxa"/>
              <w:end w:w="90" w:type="dxa"/>
            </w:tcMar>
          </w:tcPr>
          <w:p>
            <w:r>
              <w:rPr>
                <w:sz w:val="17"/>
              </w:rPr>
              <w:t>Sponsored only where aligned and disclosed; partner activations and licensed content.</w:t>
            </w:r>
          </w:p>
        </w:tc>
      </w:tr>
    </w:tbl>
    <w:p>
      <w:r>
        <w:br w:type="page"/>
      </w:r>
    </w:p>
    <w:p>
      <w:pPr>
        <w:spacing w:before="40" w:after="80"/>
      </w:pPr>
      <w:r>
        <w:rPr>
          <w:rFonts w:ascii="Aptos" w:hAnsi="Aptos"/>
          <w:b/>
          <w:color w:val="FF3FA4"/>
          <w:sz w:val="18"/>
        </w:rPr>
        <w:t>03 / OFFER ARCHITECTURE</w:t>
      </w:r>
    </w:p>
    <w:p>
      <w:pPr>
        <w:pStyle w:val="Heading1"/>
      </w:pPr>
      <w:r>
        <w:t>The BritMeow offer stack</w:t>
      </w:r>
    </w:p>
    <w:p>
      <w:r>
        <w:t>The brand should operate as a portfolio of distinct offers. Each offer has its own rules, pricing, inventory, workflow, safety review, and customer communication. This avoids mixing casual fan engagement with payments or logistics.</w:t>
      </w:r>
    </w:p>
    <w:p>
      <w:pPr>
        <w:pStyle w:val="Heading2"/>
      </w:pPr>
      <w:r>
        <w:t>1. Monthly Signature Draw</w:t>
      </w:r>
    </w:p>
    <w:p>
      <w:r>
        <w:t>A recurring, scheduled fan giveaway or paid-entry promotion built around a clearly stated prize and transparent rules. The concept discussed is a monthly 15th-of-the-month draw for a public, time-limited fan experience. The experience must be described as a public, non-intimate, boundaries-first activity with verified eligibility and a defined itinerary.</w:t>
      </w:r>
    </w:p>
    <w:p>
      <w:pPr>
        <w:pStyle w:val="Heading2"/>
      </w:pPr>
      <w:r>
        <w:t>2. Curated Fan Experience</w:t>
      </w:r>
    </w:p>
    <w:p>
      <w:r>
        <w:t>A limited, creator-approved experience such as a lunch outing at a chosen venue or a creator-led activity. The product is the scheduled experience and content moment, not access to the creator outside the defined terms. Public venue, time cap, conduct rules, independent transport, and cancellation procedure are part of the design.</w:t>
      </w:r>
    </w:p>
    <w:p>
      <w:pPr>
        <w:pStyle w:val="Heading2"/>
      </w:pPr>
      <w:r>
        <w:t>3. Personal Item Auctions</w:t>
      </w:r>
    </w:p>
    <w:p>
      <w:r>
        <w:t>Limited auctions for approved personal items, memorabilia, wardrobe pieces, signed items, or story-backed collectibles. Every listing should state condition, origin, exclusions, shipping location, fulfillment timing, and whether it includes a certificate of authenticity.</w:t>
      </w:r>
    </w:p>
    <w:p>
      <w:pPr>
        <w:pStyle w:val="Heading2"/>
      </w:pPr>
      <w:r>
        <w:t>4. Fan Requests</w:t>
      </w:r>
    </w:p>
    <w:p>
      <w:r>
        <w:t>A request page where fans submit a paid or unpaid proposal. Requests are never assumed accepted. The creator reviews, prices, approves, declines, or counters through a structured intake process with boundaries and a delivery timeline.</w:t>
      </w:r>
    </w:p>
    <w:p>
      <w:pPr>
        <w:pStyle w:val="Heading2"/>
      </w:pPr>
      <w:r>
        <w:t>5. Official Merchandise Routing</w:t>
      </w:r>
    </w:p>
    <w:p>
      <w:r>
        <w:t>A fan can purchase an official product, such as a branded plush, through an approved fulfillment partner. The website acts as the branded storefront and referral/commerce layer while the approved supplier manufactures and ships the item. The customer must see the actual product price, shipping cost, fulfillment source, and anticipated delivery period.</w:t>
      </w:r>
    </w:p>
    <w:p>
      <w:pPr>
        <w:pStyle w:val="Heading2"/>
      </w:pPr>
      <w:r>
        <w:t>6. Digital and Content Drops</w:t>
      </w:r>
    </w:p>
    <w:p>
      <w:r>
        <w:t>Limited creator posts, themed collections, behind-the-scenes content, digital cards, fan acknowledgements, and seasonal bundles. This is the scalable layer that does not require physical shipping or live scheduling for every sale.</w:t>
      </w:r>
    </w:p>
    <w:p>
      <w:r>
        <w:br w:type="page"/>
      </w:r>
    </w:p>
    <w:p>
      <w:pPr>
        <w:spacing w:before="40" w:after="80"/>
      </w:pPr>
      <w:r>
        <w:rPr>
          <w:rFonts w:ascii="Aptos" w:hAnsi="Aptos"/>
          <w:b/>
          <w:color w:val="FF3FA4"/>
          <w:sz w:val="18"/>
        </w:rPr>
        <w:t>04 / BUSINESS MODEL</w:t>
      </w:r>
    </w:p>
    <w:p>
      <w:pPr>
        <w:pStyle w:val="Heading1"/>
      </w:pPr>
      <w:r>
        <w:t>Revenue model</w:t>
      </w:r>
    </w:p>
    <w:p>
      <w:r>
        <w:t>BritMeow earns from direct product sales, scheduled experiential offers, request handling, collectibles, and carefully disclosed partner commerce. The model should prioritize transparent pricing and repeatable operations over hidden fees or unclear markups.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11118"/>
          </w:tcPr>
          <w:p>
            <w:r>
              <w:rPr>
                <w:b/>
                <w:color w:val="FFFFFF"/>
                <w:sz w:val="17"/>
              </w:rPr>
              <w:t>Revenue Stream</w:t>
            </w:r>
          </w:p>
        </w:tc>
        <w:tc>
          <w:tcPr>
            <w:tcW w:type="dxa" w:w="2541"/>
            <w:shd w:fill="111118"/>
          </w:tcPr>
          <w:p>
            <w:r>
              <w:rPr>
                <w:b/>
                <w:color w:val="FFFFFF"/>
                <w:sz w:val="17"/>
              </w:rPr>
              <w:t>Mechanic</w:t>
            </w:r>
          </w:p>
        </w:tc>
        <w:tc>
          <w:tcPr>
            <w:tcW w:type="dxa" w:w="2541"/>
            <w:shd w:fill="111118"/>
          </w:tcPr>
          <w:p>
            <w:r>
              <w:rPr>
                <w:b/>
                <w:color w:val="FFFFFF"/>
                <w:sz w:val="17"/>
              </w:rPr>
              <w:t>Creator Value</w:t>
            </w:r>
          </w:p>
        </w:tc>
        <w:tc>
          <w:tcPr>
            <w:tcW w:type="dxa" w:w="2541"/>
            <w:shd w:fill="111118"/>
          </w:tcPr>
          <w:p>
            <w:r>
              <w:rPr>
                <w:b/>
                <w:color w:val="FFFFFF"/>
                <w:sz w:val="17"/>
              </w:rPr>
              <w:t>Operational Notes</w:t>
            </w:r>
          </w:p>
        </w:tc>
      </w:tr>
      <w:tr>
        <w:tc>
          <w:tcPr>
            <w:tcW w:type="dxa" w:w="2541"/>
            <w:tcMar>
              <w:top w:w="75" w:type="dxa"/>
              <w:start w:w="75" w:type="dxa"/>
              <w:bottom w:w="75" w:type="dxa"/>
              <w:end w:w="75" w:type="dxa"/>
            </w:tcMar>
          </w:tcPr>
          <w:p>
            <w:r>
              <w:rPr>
                <w:sz w:val="15"/>
              </w:rPr>
              <w:t>Draw entries / promotions</w:t>
            </w:r>
          </w:p>
        </w:tc>
        <w:tc>
          <w:tcPr>
            <w:tcW w:type="dxa" w:w="2541"/>
            <w:tcMar>
              <w:top w:w="75" w:type="dxa"/>
              <w:start w:w="75" w:type="dxa"/>
              <w:bottom w:w="75" w:type="dxa"/>
              <w:end w:w="75" w:type="dxa"/>
            </w:tcMar>
          </w:tcPr>
          <w:p>
            <w:r>
              <w:rPr>
                <w:sz w:val="15"/>
              </w:rPr>
              <w:t>Fixed entry or alternate free-entry path depending on final promotion structure.</w:t>
            </w:r>
          </w:p>
        </w:tc>
        <w:tc>
          <w:tcPr>
            <w:tcW w:type="dxa" w:w="2541"/>
            <w:tcMar>
              <w:top w:w="75" w:type="dxa"/>
              <w:start w:w="75" w:type="dxa"/>
              <w:bottom w:w="75" w:type="dxa"/>
              <w:end w:w="75" w:type="dxa"/>
            </w:tcMar>
          </w:tcPr>
          <w:p>
            <w:r>
              <w:rPr>
                <w:sz w:val="15"/>
              </w:rPr>
              <w:t>Recurring attention and scheduled conversion.</w:t>
            </w:r>
          </w:p>
        </w:tc>
        <w:tc>
          <w:tcPr>
            <w:tcW w:type="dxa" w:w="2541"/>
            <w:tcMar>
              <w:top w:w="75" w:type="dxa"/>
              <w:start w:w="75" w:type="dxa"/>
              <w:bottom w:w="75" w:type="dxa"/>
              <w:end w:w="75" w:type="dxa"/>
            </w:tcMar>
          </w:tcPr>
          <w:p>
            <w:r>
              <w:rPr>
                <w:sz w:val="15"/>
              </w:rPr>
              <w:t>Rules, eligibility, prize description, selection record, and fulfillment must be documented.</w:t>
            </w:r>
          </w:p>
        </w:tc>
      </w:tr>
      <w:tr>
        <w:tc>
          <w:tcPr>
            <w:tcW w:type="dxa" w:w="2541"/>
            <w:tcMar>
              <w:top w:w="75" w:type="dxa"/>
              <w:start w:w="75" w:type="dxa"/>
              <w:bottom w:w="75" w:type="dxa"/>
              <w:end w:w="75" w:type="dxa"/>
            </w:tcMar>
          </w:tcPr>
          <w:p>
            <w:r>
              <w:rPr>
                <w:sz w:val="15"/>
              </w:rPr>
              <w:t>Experience bookings</w:t>
            </w:r>
          </w:p>
        </w:tc>
        <w:tc>
          <w:tcPr>
            <w:tcW w:type="dxa" w:w="2541"/>
            <w:tcMar>
              <w:top w:w="75" w:type="dxa"/>
              <w:start w:w="75" w:type="dxa"/>
              <w:bottom w:w="75" w:type="dxa"/>
              <w:end w:w="75" w:type="dxa"/>
            </w:tcMar>
          </w:tcPr>
          <w:p>
            <w:r>
              <w:rPr>
                <w:sz w:val="15"/>
              </w:rPr>
              <w:t>Set package price or draw prize.</w:t>
            </w:r>
          </w:p>
        </w:tc>
        <w:tc>
          <w:tcPr>
            <w:tcW w:type="dxa" w:w="2541"/>
            <w:tcMar>
              <w:top w:w="75" w:type="dxa"/>
              <w:start w:w="75" w:type="dxa"/>
              <w:bottom w:w="75" w:type="dxa"/>
              <w:end w:w="75" w:type="dxa"/>
            </w:tcMar>
          </w:tcPr>
          <w:p>
            <w:r>
              <w:rPr>
                <w:sz w:val="15"/>
              </w:rPr>
              <w:t>Premium, highly limited offer with content value.</w:t>
            </w:r>
          </w:p>
        </w:tc>
        <w:tc>
          <w:tcPr>
            <w:tcW w:type="dxa" w:w="2541"/>
            <w:tcMar>
              <w:top w:w="75" w:type="dxa"/>
              <w:start w:w="75" w:type="dxa"/>
              <w:bottom w:w="75" w:type="dxa"/>
              <w:end w:w="75" w:type="dxa"/>
            </w:tcMar>
          </w:tcPr>
          <w:p>
            <w:r>
              <w:rPr>
                <w:sz w:val="15"/>
              </w:rPr>
              <w:t>Use strict scope, public itinerary, staffing/safety plan, independent travel.</w:t>
            </w:r>
          </w:p>
        </w:tc>
      </w:tr>
      <w:tr>
        <w:tc>
          <w:tcPr>
            <w:tcW w:type="dxa" w:w="2541"/>
            <w:tcMar>
              <w:top w:w="75" w:type="dxa"/>
              <w:start w:w="75" w:type="dxa"/>
              <w:bottom w:w="75" w:type="dxa"/>
              <w:end w:w="75" w:type="dxa"/>
            </w:tcMar>
          </w:tcPr>
          <w:p>
            <w:r>
              <w:rPr>
                <w:sz w:val="15"/>
              </w:rPr>
              <w:t>Auctions</w:t>
            </w:r>
          </w:p>
        </w:tc>
        <w:tc>
          <w:tcPr>
            <w:tcW w:type="dxa" w:w="2541"/>
            <w:tcMar>
              <w:top w:w="75" w:type="dxa"/>
              <w:start w:w="75" w:type="dxa"/>
              <w:bottom w:w="75" w:type="dxa"/>
              <w:end w:w="75" w:type="dxa"/>
            </w:tcMar>
          </w:tcPr>
          <w:p>
            <w:r>
              <w:rPr>
                <w:sz w:val="15"/>
              </w:rPr>
              <w:t>Timed bidding plus optional buyer premium where disclosed.</w:t>
            </w:r>
          </w:p>
        </w:tc>
        <w:tc>
          <w:tcPr>
            <w:tcW w:type="dxa" w:w="2541"/>
            <w:tcMar>
              <w:top w:w="75" w:type="dxa"/>
              <w:start w:w="75" w:type="dxa"/>
              <w:bottom w:w="75" w:type="dxa"/>
              <w:end w:w="75" w:type="dxa"/>
            </w:tcMar>
          </w:tcPr>
          <w:p>
            <w:r>
              <w:rPr>
                <w:sz w:val="15"/>
              </w:rPr>
              <w:t>Monetizes scarcity and provenance.</w:t>
            </w:r>
          </w:p>
        </w:tc>
        <w:tc>
          <w:tcPr>
            <w:tcW w:type="dxa" w:w="2541"/>
            <w:tcMar>
              <w:top w:w="75" w:type="dxa"/>
              <w:start w:w="75" w:type="dxa"/>
              <w:bottom w:w="75" w:type="dxa"/>
              <w:end w:w="75" w:type="dxa"/>
            </w:tcMar>
          </w:tcPr>
          <w:p>
            <w:r>
              <w:rPr>
                <w:sz w:val="15"/>
              </w:rPr>
              <w:t>Authenticity, shipping, refund and condition policies are required.</w:t>
            </w:r>
          </w:p>
        </w:tc>
      </w:tr>
      <w:tr>
        <w:tc>
          <w:tcPr>
            <w:tcW w:type="dxa" w:w="2541"/>
            <w:tcMar>
              <w:top w:w="75" w:type="dxa"/>
              <w:start w:w="75" w:type="dxa"/>
              <w:bottom w:w="75" w:type="dxa"/>
              <w:end w:w="75" w:type="dxa"/>
            </w:tcMar>
          </w:tcPr>
          <w:p>
            <w:r>
              <w:rPr>
                <w:sz w:val="15"/>
              </w:rPr>
              <w:t>Requests</w:t>
            </w:r>
          </w:p>
        </w:tc>
        <w:tc>
          <w:tcPr>
            <w:tcW w:type="dxa" w:w="2541"/>
            <w:tcMar>
              <w:top w:w="75" w:type="dxa"/>
              <w:start w:w="75" w:type="dxa"/>
              <w:bottom w:w="75" w:type="dxa"/>
              <w:end w:w="75" w:type="dxa"/>
            </w:tcMar>
          </w:tcPr>
          <w:p>
            <w:r>
              <w:rPr>
                <w:sz w:val="15"/>
              </w:rPr>
              <w:t>Quoted or menu-priced creative/appearance/content requests.</w:t>
            </w:r>
          </w:p>
        </w:tc>
        <w:tc>
          <w:tcPr>
            <w:tcW w:type="dxa" w:w="2541"/>
            <w:tcMar>
              <w:top w:w="75" w:type="dxa"/>
              <w:start w:w="75" w:type="dxa"/>
              <w:bottom w:w="75" w:type="dxa"/>
              <w:end w:w="75" w:type="dxa"/>
            </w:tcMar>
          </w:tcPr>
          <w:p>
            <w:r>
              <w:rPr>
                <w:sz w:val="15"/>
              </w:rPr>
              <w:t>Converts interest without promising access.</w:t>
            </w:r>
          </w:p>
        </w:tc>
        <w:tc>
          <w:tcPr>
            <w:tcW w:type="dxa" w:w="2541"/>
            <w:tcMar>
              <w:top w:w="75" w:type="dxa"/>
              <w:start w:w="75" w:type="dxa"/>
              <w:bottom w:w="75" w:type="dxa"/>
              <w:end w:w="75" w:type="dxa"/>
            </w:tcMar>
          </w:tcPr>
          <w:p>
            <w:r>
              <w:rPr>
                <w:sz w:val="15"/>
              </w:rPr>
              <w:t>Creator approval required before payment capture or fulfillment commitment.</w:t>
            </w:r>
          </w:p>
        </w:tc>
      </w:tr>
      <w:tr>
        <w:tc>
          <w:tcPr>
            <w:tcW w:type="dxa" w:w="2541"/>
            <w:tcMar>
              <w:top w:w="75" w:type="dxa"/>
              <w:start w:w="75" w:type="dxa"/>
              <w:bottom w:w="75" w:type="dxa"/>
              <w:end w:w="75" w:type="dxa"/>
            </w:tcMar>
          </w:tcPr>
          <w:p>
            <w:r>
              <w:rPr>
                <w:sz w:val="15"/>
              </w:rPr>
              <w:t>Merch / partner fulfillment</w:t>
            </w:r>
          </w:p>
        </w:tc>
        <w:tc>
          <w:tcPr>
            <w:tcW w:type="dxa" w:w="2541"/>
            <w:tcMar>
              <w:top w:w="75" w:type="dxa"/>
              <w:start w:w="75" w:type="dxa"/>
              <w:bottom w:w="75" w:type="dxa"/>
              <w:end w:w="75" w:type="dxa"/>
            </w:tcMar>
          </w:tcPr>
          <w:p>
            <w:r>
              <w:rPr>
                <w:sz w:val="15"/>
              </w:rPr>
              <w:t>Retail margin, affiliate commission, or wholesale-to-retail margin.</w:t>
            </w:r>
          </w:p>
        </w:tc>
        <w:tc>
          <w:tcPr>
            <w:tcW w:type="dxa" w:w="2541"/>
            <w:tcMar>
              <w:top w:w="75" w:type="dxa"/>
              <w:start w:w="75" w:type="dxa"/>
              <w:bottom w:w="75" w:type="dxa"/>
              <w:end w:w="75" w:type="dxa"/>
            </w:tcMar>
          </w:tcPr>
          <w:p>
            <w:r>
              <w:rPr>
                <w:sz w:val="15"/>
              </w:rPr>
              <w:t>Scalable product line without holding inventory.</w:t>
            </w:r>
          </w:p>
        </w:tc>
        <w:tc>
          <w:tcPr>
            <w:tcW w:type="dxa" w:w="2541"/>
            <w:tcMar>
              <w:top w:w="75" w:type="dxa"/>
              <w:start w:w="75" w:type="dxa"/>
              <w:bottom w:w="75" w:type="dxa"/>
              <w:end w:w="75" w:type="dxa"/>
            </w:tcMar>
          </w:tcPr>
          <w:p>
            <w:r>
              <w:rPr>
                <w:sz w:val="15"/>
              </w:rPr>
              <w:t>Do not claim manufacturer quality or shipping deadlines beyond verified partner terms.</w:t>
            </w:r>
          </w:p>
        </w:tc>
      </w:tr>
      <w:tr>
        <w:tc>
          <w:tcPr>
            <w:tcW w:type="dxa" w:w="2541"/>
            <w:tcMar>
              <w:top w:w="75" w:type="dxa"/>
              <w:start w:w="75" w:type="dxa"/>
              <w:bottom w:w="75" w:type="dxa"/>
              <w:end w:w="75" w:type="dxa"/>
            </w:tcMar>
          </w:tcPr>
          <w:p>
            <w:r>
              <w:rPr>
                <w:sz w:val="15"/>
              </w:rPr>
              <w:t>Digital products</w:t>
            </w:r>
          </w:p>
        </w:tc>
        <w:tc>
          <w:tcPr>
            <w:tcW w:type="dxa" w:w="2541"/>
            <w:tcMar>
              <w:top w:w="75" w:type="dxa"/>
              <w:start w:w="75" w:type="dxa"/>
              <w:bottom w:w="75" w:type="dxa"/>
              <w:end w:w="75" w:type="dxa"/>
            </w:tcMar>
          </w:tcPr>
          <w:p>
            <w:r>
              <w:rPr>
                <w:sz w:val="15"/>
              </w:rPr>
              <w:t>Limited drops, bundles, memberships, licensed content.</w:t>
            </w:r>
          </w:p>
        </w:tc>
        <w:tc>
          <w:tcPr>
            <w:tcW w:type="dxa" w:w="2541"/>
            <w:tcMar>
              <w:top w:w="75" w:type="dxa"/>
              <w:start w:w="75" w:type="dxa"/>
              <w:bottom w:w="75" w:type="dxa"/>
              <w:end w:w="75" w:type="dxa"/>
            </w:tcMar>
          </w:tcPr>
          <w:p>
            <w:r>
              <w:rPr>
                <w:sz w:val="15"/>
              </w:rPr>
              <w:t>High-margin repeatable offerings.</w:t>
            </w:r>
          </w:p>
        </w:tc>
        <w:tc>
          <w:tcPr>
            <w:tcW w:type="dxa" w:w="2541"/>
            <w:tcMar>
              <w:top w:w="75" w:type="dxa"/>
              <w:start w:w="75" w:type="dxa"/>
              <w:bottom w:w="75" w:type="dxa"/>
              <w:end w:w="75" w:type="dxa"/>
            </w:tcMar>
          </w:tcPr>
          <w:p>
            <w:r>
              <w:rPr>
                <w:sz w:val="15"/>
              </w:rPr>
              <w:t>Clear access terms and takedown / refund rules.</w:t>
            </w:r>
          </w:p>
        </w:tc>
      </w:tr>
    </w:tbl>
    <w:p>
      <w:pPr>
        <w:pStyle w:val="Heading2"/>
      </w:pPr>
      <w:r>
        <w:t>Commercial rule</w:t>
      </w:r>
    </w:p>
    <w:p>
      <w:r>
        <w:t>Every item or experience on the site must identify the revenue type: direct sale, auction, draw/promotion, paid request, referral/affiliate, or partner fulfillment. That distinction keeps the customer journey clear and prevents confusion about what BritMeow controls directly.</w:t>
      </w:r>
    </w:p>
    <w:p>
      <w:r>
        <w:br w:type="page"/>
      </w:r>
    </w:p>
    <w:p>
      <w:pPr>
        <w:spacing w:before="40" w:after="80"/>
      </w:pPr>
      <w:r>
        <w:rPr>
          <w:rFonts w:ascii="Aptos" w:hAnsi="Aptos"/>
          <w:b/>
          <w:color w:val="FF3FA4"/>
          <w:sz w:val="18"/>
        </w:rPr>
        <w:t>05 / TRUST, SAFETY &amp; OPERATING BOUNDARIES</w:t>
      </w:r>
    </w:p>
    <w:p>
      <w:pPr>
        <w:pStyle w:val="Heading1"/>
      </w:pPr>
      <w:r>
        <w:t>Trust is part of the product</w:t>
      </w:r>
    </w:p>
    <w:p>
      <w:r>
        <w:t>BritMeow should be designed so that supporters know what they are buying and the creator has control over the circumstances of every interaction. This is especially important for live experiences, personal requests, and any offer involving travel, meeting, or intimate personal materials.</w:t>
      </w:r>
    </w:p>
    <w:p>
      <w:pPr>
        <w:pStyle w:val="Heading2"/>
      </w:pPr>
      <w:r>
        <w:t>Experience safeguards</w:t>
      </w:r>
    </w:p>
    <w:p>
      <w:pPr>
        <w:pStyle w:val="ListBullet"/>
        <w:spacing w:after="60"/>
      </w:pPr>
      <w:r>
        <w:t>Use public venues and clearly defined start/end times for in-person experiences.</w:t>
      </w:r>
    </w:p>
    <w:p>
      <w:pPr>
        <w:pStyle w:val="ListBullet"/>
        <w:spacing w:after="60"/>
      </w:pPr>
      <w:r>
        <w:t>Use a written conduct standard and a right to end the experience for safety or boundary concerns.</w:t>
      </w:r>
    </w:p>
    <w:p>
      <w:pPr>
        <w:pStyle w:val="ListBullet"/>
        <w:spacing w:after="60"/>
      </w:pPr>
      <w:r>
        <w:t>Require legal-age eligibility, identity confirmation where appropriate, and a clear cancellation/refund approach.</w:t>
      </w:r>
    </w:p>
    <w:p>
      <w:pPr>
        <w:pStyle w:val="ListBullet"/>
        <w:spacing w:after="60"/>
      </w:pPr>
      <w:r>
        <w:t>Use independent transportation and do not publish private addresses, home details, real-time location, or routine patterns.</w:t>
      </w:r>
    </w:p>
    <w:p>
      <w:pPr>
        <w:pStyle w:val="ListBullet"/>
        <w:spacing w:after="60"/>
      </w:pPr>
      <w:r>
        <w:t>Keep the offer description focused on the stated activity. No implication of intimacy, sexual services, private residence access, or open-ended companionship.</w:t>
      </w:r>
    </w:p>
    <w:p>
      <w:pPr>
        <w:pStyle w:val="ListBullet"/>
        <w:spacing w:after="60"/>
      </w:pPr>
      <w:r>
        <w:t>Maintain a designated support contact or staff accompaniment plan for higher-risk events.</w:t>
      </w:r>
    </w:p>
    <w:p>
      <w:pPr>
        <w:pStyle w:val="Heading2"/>
      </w:pPr>
      <w:r>
        <w:t>Auction and merchandise safeguards</w:t>
      </w:r>
    </w:p>
    <w:p>
      <w:pPr>
        <w:pStyle w:val="ListBullet"/>
        <w:spacing w:after="60"/>
      </w:pPr>
      <w:r>
        <w:t>List product condition, availability, source, exclusions, and fulfillment timing.</w:t>
      </w:r>
    </w:p>
    <w:p>
      <w:pPr>
        <w:pStyle w:val="ListBullet"/>
        <w:spacing w:after="60"/>
      </w:pPr>
      <w:r>
        <w:t>Use a clear no-bid / cancelled-auction workflow and retain transaction records.</w:t>
      </w:r>
    </w:p>
    <w:p>
      <w:pPr>
        <w:pStyle w:val="ListBullet"/>
        <w:spacing w:after="60"/>
      </w:pPr>
      <w:r>
        <w:t>Use trackable shipping for physical releases and disclose destination restrictions.</w:t>
      </w:r>
    </w:p>
    <w:p>
      <w:pPr>
        <w:pStyle w:val="ListBullet"/>
        <w:spacing w:after="60"/>
      </w:pPr>
      <w:r>
        <w:t>Do not represent third-party goods as manufactured or shipped by BritMeow unless that is true.</w:t>
      </w:r>
    </w:p>
    <w:p>
      <w:pPr>
        <w:pStyle w:val="ListBullet"/>
        <w:spacing w:after="60"/>
      </w:pPr>
      <w:r>
        <w:t>Treat personal data, delivery addresses, and payment information as restricted operational data.</w:t>
      </w:r>
    </w:p>
    <w:p>
      <w:pPr>
        <w:pStyle w:val="Heading2"/>
      </w:pPr>
      <w:r>
        <w:t>Request safeguards</w:t>
      </w:r>
    </w:p>
    <w:p>
      <w:pPr>
        <w:pStyle w:val="ListBullet"/>
        <w:spacing w:after="60"/>
      </w:pPr>
      <w:r>
        <w:t>Requests are proposals, not promises. Submission does not create an obligation to accept.</w:t>
      </w:r>
    </w:p>
    <w:p>
      <w:pPr>
        <w:pStyle w:val="ListBullet"/>
        <w:spacing w:after="60"/>
      </w:pPr>
      <w:r>
        <w:t>Every approved request should state the scope, deliverable, price, schedule, revision limits, and allowed uses.</w:t>
      </w:r>
    </w:p>
    <w:p>
      <w:pPr>
        <w:pStyle w:val="ListBullet"/>
        <w:spacing w:after="60"/>
      </w:pPr>
      <w:r>
        <w:t>Use a refusal list for unsafe, unlawful, discriminatory, coercive, or boundary-crossing requests.</w:t>
      </w:r>
    </w:p>
    <w:p>
      <w:pPr>
        <w:pStyle w:val="ListBullet"/>
        <w:spacing w:after="60"/>
      </w:pPr>
      <w:r>
        <w:t>Keep creator review and final approval mandatory before release or scheduling.</w:t>
      </w:r>
    </w:p>
    <w:p>
      <w:r>
        <w:br w:type="page"/>
      </w:r>
    </w:p>
    <w:p>
      <w:pPr>
        <w:spacing w:before="40" w:after="80"/>
      </w:pPr>
      <w:r>
        <w:rPr>
          <w:rFonts w:ascii="Aptos" w:hAnsi="Aptos"/>
          <w:b/>
          <w:color w:val="FF3FA4"/>
          <w:sz w:val="18"/>
        </w:rPr>
        <w:t>06 / CUSTOMER EXPERIENCE &amp; CONTENT ENGINE</w:t>
      </w:r>
    </w:p>
    <w:p>
      <w:pPr>
        <w:pStyle w:val="Heading1"/>
      </w:pPr>
      <w:r>
        <w:t>The customer journey</w:t>
      </w:r>
    </w:p>
    <w:p>
      <w:pPr>
        <w:spacing w:after="80"/>
      </w:pPr>
      <w:r>
        <w:rPr>
          <w:b/>
          <w:color w:val="FF3FA4"/>
        </w:rPr>
        <w:t xml:space="preserve">01  Discover: </w:t>
      </w:r>
      <w:r>
        <w:t>Fan finds a post, short video, announcement, partner mention, or social profile that points to BritMeow.</w:t>
      </w:r>
    </w:p>
    <w:p>
      <w:pPr>
        <w:spacing w:after="80"/>
      </w:pPr>
      <w:r>
        <w:rPr>
          <w:b/>
          <w:color w:val="FF3FA4"/>
        </w:rPr>
        <w:t xml:space="preserve">02  Understand: </w:t>
      </w:r>
      <w:r>
        <w:t>Landing page explains the offer in plain language: what it is, what is included, price/entry mechanic, timing, eligibility, and boundaries.</w:t>
      </w:r>
    </w:p>
    <w:p>
      <w:pPr>
        <w:spacing w:after="80"/>
      </w:pPr>
      <w:r>
        <w:rPr>
          <w:b/>
          <w:color w:val="FF3FA4"/>
        </w:rPr>
        <w:t xml:space="preserve">03  Convert: </w:t>
      </w:r>
      <w:r>
        <w:t>Customer buys, bids, submits a request, or enters a draw through a clear checkout path.</w:t>
      </w:r>
    </w:p>
    <w:p>
      <w:pPr>
        <w:spacing w:after="80"/>
      </w:pPr>
      <w:r>
        <w:rPr>
          <w:b/>
          <w:color w:val="FF3FA4"/>
        </w:rPr>
        <w:t xml:space="preserve">04  Confirm: </w:t>
      </w:r>
      <w:r>
        <w:t>Customer receives a record: receipt, order status, draw details, request status, or auction confirmation.</w:t>
      </w:r>
    </w:p>
    <w:p>
      <w:pPr>
        <w:spacing w:after="80"/>
      </w:pPr>
      <w:r>
        <w:rPr>
          <w:b/>
          <w:color w:val="FF3FA4"/>
        </w:rPr>
        <w:t xml:space="preserve">05  Fulfill: </w:t>
      </w:r>
      <w:r>
        <w:t>BritMeow executes the offer with updates, tracking, or scheduling tools.</w:t>
      </w:r>
    </w:p>
    <w:p>
      <w:pPr>
        <w:spacing w:after="80"/>
      </w:pPr>
      <w:r>
        <w:rPr>
          <w:b/>
          <w:color w:val="FF3FA4"/>
        </w:rPr>
        <w:t xml:space="preserve">06  Return: </w:t>
      </w:r>
      <w:r>
        <w:t>The buyer receives follow-up content, next-drop notice, loyalty recognition, or a responsible invitation to future releases.</w:t>
      </w:r>
    </w:p>
    <w:p>
      <w:pPr>
        <w:pStyle w:val="Heading2"/>
      </w:pPr>
      <w:r>
        <w:t>Content pillars</w:t>
      </w:r>
    </w:p>
    <w:p>
      <w:pPr>
        <w:pStyle w:val="Heading3"/>
      </w:pPr>
      <w:r>
        <w:t>The Creator World</w:t>
      </w:r>
    </w:p>
    <w:p>
      <w:r>
        <w:t>Personality, lifestyle, aesthetic, behind-the-scenes content, and brand story.</w:t>
      </w:r>
    </w:p>
    <w:p>
      <w:pPr>
        <w:pStyle w:val="Heading3"/>
      </w:pPr>
      <w:r>
        <w:t>The Drop</w:t>
      </w:r>
    </w:p>
    <w:p>
      <w:r>
        <w:t>Announce new items, auctions, experience windows, and timed releases.</w:t>
      </w:r>
    </w:p>
    <w:p>
      <w:pPr>
        <w:pStyle w:val="Heading3"/>
      </w:pPr>
      <w:r>
        <w:t>The Proof</w:t>
      </w:r>
    </w:p>
    <w:p>
      <w:r>
        <w:t>Show fulfillment, packaging, winner announcements, product details, and authentic fan outcomes without oversharing personal information.</w:t>
      </w:r>
    </w:p>
    <w:p>
      <w:pPr>
        <w:pStyle w:val="Heading3"/>
      </w:pPr>
      <w:r>
        <w:t>The Ask</w:t>
      </w:r>
    </w:p>
    <w:p>
      <w:r>
        <w:t>Guide fans to request page, waitlist, membership, draw entry, or official shop.</w:t>
      </w:r>
    </w:p>
    <w:p>
      <w:pPr>
        <w:pStyle w:val="Heading3"/>
      </w:pPr>
      <w:r>
        <w:t>The Community</w:t>
      </w:r>
    </w:p>
    <w:p>
      <w:r>
        <w:t>Reward respectful participation, repeat supporters, fan art, polls, and creator-led interaction.</w:t>
      </w:r>
    </w:p>
    <w:p>
      <w:pPr>
        <w:pStyle w:val="Heading2"/>
      </w:pPr>
      <w:r>
        <w:t>Social operations</w:t>
      </w:r>
    </w:p>
    <w:p>
      <w:r>
        <w:t>Use a central content calendar and a shared asset library rather than keeping images and credentials scattered across devices. Each post should have an owner, platform, publish time, campaign tag, destination URL, and performance note. The initial stack can be light: one approved cloud asset vault, one scheduler, one intake board, and one website source of truth.</w:t>
      </w:r>
    </w:p>
    <w:p>
      <w:r>
        <w:br w:type="page"/>
      </w:r>
    </w:p>
    <w:p>
      <w:pPr>
        <w:spacing w:before="40" w:after="80"/>
      </w:pPr>
      <w:r>
        <w:rPr>
          <w:rFonts w:ascii="Aptos" w:hAnsi="Aptos"/>
          <w:b/>
          <w:color w:val="FF3FA4"/>
          <w:sz w:val="18"/>
        </w:rPr>
        <w:t>07 / PLATFORM &amp; FULFILLMENT BLUEPRINT</w:t>
      </w:r>
    </w:p>
    <w:p>
      <w:pPr>
        <w:pStyle w:val="Heading1"/>
      </w:pPr>
      <w:r>
        <w:t>A practical early-stage stack</w:t>
      </w:r>
    </w:p>
    <w:tbl>
      <w:tblPr>
        <w:tblStyle w:val="TableGrid"/>
        <w:tblW w:type="auto" w:w="0"/>
        <w:jc w:val="center"/>
        <w:tblLook w:firstColumn="1" w:firstRow="1" w:lastColumn="0" w:lastRow="0" w:noHBand="0" w:noVBand="1" w:val="04A0"/>
      </w:tblPr>
      <w:tblGrid>
        <w:gridCol w:w="5083"/>
        <w:gridCol w:w="5083"/>
      </w:tblGrid>
      <w:tr>
        <w:tc>
          <w:tcPr>
            <w:tcW w:type="dxa" w:w="5083"/>
            <w:shd w:fill="111118"/>
          </w:tcPr>
          <w:p>
            <w:r>
              <w:rPr>
                <w:b/>
                <w:color w:val="FFFFFF"/>
              </w:rPr>
              <w:t>Layer</w:t>
            </w:r>
          </w:p>
        </w:tc>
        <w:tc>
          <w:tcPr>
            <w:tcW w:type="dxa" w:w="5083"/>
            <w:shd w:fill="111118"/>
          </w:tcPr>
          <w:p>
            <w:r>
              <w:rPr>
                <w:b/>
                <w:color w:val="FFFFFF"/>
              </w:rPr>
              <w:t>Initial requirement</w:t>
            </w:r>
          </w:p>
        </w:tc>
      </w:tr>
      <w:tr>
        <w:tc>
          <w:tcPr>
            <w:tcW w:type="dxa" w:w="5083"/>
            <w:tcMar>
              <w:top w:w="85" w:type="dxa"/>
              <w:start w:w="85" w:type="dxa"/>
              <w:bottom w:w="85" w:type="dxa"/>
              <w:end w:w="85" w:type="dxa"/>
            </w:tcMar>
          </w:tcPr>
          <w:p>
            <w:r>
              <w:rPr>
                <w:sz w:val="16"/>
              </w:rPr>
              <w:t>Public site</w:t>
            </w:r>
          </w:p>
        </w:tc>
        <w:tc>
          <w:tcPr>
            <w:tcW w:type="dxa" w:w="5083"/>
            <w:tcMar>
              <w:top w:w="85" w:type="dxa"/>
              <w:start w:w="85" w:type="dxa"/>
              <w:bottom w:w="85" w:type="dxa"/>
              <w:end w:w="85" w:type="dxa"/>
            </w:tcMar>
          </w:tcPr>
          <w:p>
            <w:r>
              <w:rPr>
                <w:sz w:val="16"/>
              </w:rPr>
              <w:t>Mobile-first website with a clear home page, current offers, request page, auction/draw pages, shop, and policy links.</w:t>
            </w:r>
          </w:p>
        </w:tc>
      </w:tr>
      <w:tr>
        <w:tc>
          <w:tcPr>
            <w:tcW w:type="dxa" w:w="5083"/>
            <w:tcMar>
              <w:top w:w="85" w:type="dxa"/>
              <w:start w:w="85" w:type="dxa"/>
              <w:bottom w:w="85" w:type="dxa"/>
              <w:end w:w="85" w:type="dxa"/>
            </w:tcMar>
          </w:tcPr>
          <w:p>
            <w:r>
              <w:rPr>
                <w:sz w:val="16"/>
              </w:rPr>
              <w:t>Commerce</w:t>
            </w:r>
          </w:p>
        </w:tc>
        <w:tc>
          <w:tcPr>
            <w:tcW w:type="dxa" w:w="5083"/>
            <w:tcMar>
              <w:top w:w="85" w:type="dxa"/>
              <w:start w:w="85" w:type="dxa"/>
              <w:bottom w:w="85" w:type="dxa"/>
              <w:end w:w="85" w:type="dxa"/>
            </w:tcMar>
          </w:tcPr>
          <w:p>
            <w:r>
              <w:rPr>
                <w:sz w:val="16"/>
              </w:rPr>
              <w:t>Checkout with receipts, inventory controls, offer-specific confirmation emails, refunds workflow, and reporting.</w:t>
            </w:r>
          </w:p>
        </w:tc>
      </w:tr>
      <w:tr>
        <w:tc>
          <w:tcPr>
            <w:tcW w:type="dxa" w:w="5083"/>
            <w:tcMar>
              <w:top w:w="85" w:type="dxa"/>
              <w:start w:w="85" w:type="dxa"/>
              <w:bottom w:w="85" w:type="dxa"/>
              <w:end w:w="85" w:type="dxa"/>
            </w:tcMar>
          </w:tcPr>
          <w:p>
            <w:r>
              <w:rPr>
                <w:sz w:val="16"/>
              </w:rPr>
              <w:t>Auction / draw module</w:t>
            </w:r>
          </w:p>
        </w:tc>
        <w:tc>
          <w:tcPr>
            <w:tcW w:type="dxa" w:w="5083"/>
            <w:tcMar>
              <w:top w:w="85" w:type="dxa"/>
              <w:start w:w="85" w:type="dxa"/>
              <w:bottom w:w="85" w:type="dxa"/>
              <w:end w:w="85" w:type="dxa"/>
            </w:tcMar>
          </w:tcPr>
          <w:p>
            <w:r>
              <w:rPr>
                <w:sz w:val="16"/>
              </w:rPr>
              <w:t>Use a system that can retain time-stamped entries or bids, rules, winner records, and notifications. Do not operate informally through DMs.</w:t>
            </w:r>
          </w:p>
        </w:tc>
      </w:tr>
      <w:tr>
        <w:tc>
          <w:tcPr>
            <w:tcW w:type="dxa" w:w="5083"/>
            <w:tcMar>
              <w:top w:w="85" w:type="dxa"/>
              <w:start w:w="85" w:type="dxa"/>
              <w:bottom w:w="85" w:type="dxa"/>
              <w:end w:w="85" w:type="dxa"/>
            </w:tcMar>
          </w:tcPr>
          <w:p>
            <w:r>
              <w:rPr>
                <w:sz w:val="16"/>
              </w:rPr>
              <w:t>Request intake</w:t>
            </w:r>
          </w:p>
        </w:tc>
        <w:tc>
          <w:tcPr>
            <w:tcW w:type="dxa" w:w="5083"/>
            <w:tcMar>
              <w:top w:w="85" w:type="dxa"/>
              <w:start w:w="85" w:type="dxa"/>
              <w:bottom w:w="85" w:type="dxa"/>
              <w:end w:w="85" w:type="dxa"/>
            </w:tcMar>
          </w:tcPr>
          <w:p>
            <w:r>
              <w:rPr>
                <w:sz w:val="16"/>
              </w:rPr>
              <w:t>Structured form with category, budget, deadline, requested deliverable, allowed-use acknowledgement, and review status.</w:t>
            </w:r>
          </w:p>
        </w:tc>
      </w:tr>
      <w:tr>
        <w:tc>
          <w:tcPr>
            <w:tcW w:type="dxa" w:w="5083"/>
            <w:tcMar>
              <w:top w:w="85" w:type="dxa"/>
              <w:start w:w="85" w:type="dxa"/>
              <w:bottom w:w="85" w:type="dxa"/>
              <w:end w:w="85" w:type="dxa"/>
            </w:tcMar>
          </w:tcPr>
          <w:p>
            <w:r>
              <w:rPr>
                <w:sz w:val="16"/>
              </w:rPr>
              <w:t>Asset management</w:t>
            </w:r>
          </w:p>
        </w:tc>
        <w:tc>
          <w:tcPr>
            <w:tcW w:type="dxa" w:w="5083"/>
            <w:tcMar>
              <w:top w:w="85" w:type="dxa"/>
              <w:start w:w="85" w:type="dxa"/>
              <w:bottom w:w="85" w:type="dxa"/>
              <w:end w:w="85" w:type="dxa"/>
            </w:tcMar>
          </w:tcPr>
          <w:p>
            <w:r>
              <w:rPr>
                <w:sz w:val="16"/>
              </w:rPr>
              <w:t>A secure, permissioned cloud library for creator photos, videos, product artwork, and social-ready exports.</w:t>
            </w:r>
          </w:p>
        </w:tc>
      </w:tr>
      <w:tr>
        <w:tc>
          <w:tcPr>
            <w:tcW w:type="dxa" w:w="5083"/>
            <w:tcMar>
              <w:top w:w="85" w:type="dxa"/>
              <w:start w:w="85" w:type="dxa"/>
              <w:bottom w:w="85" w:type="dxa"/>
              <w:end w:w="85" w:type="dxa"/>
            </w:tcMar>
          </w:tcPr>
          <w:p>
            <w:r>
              <w:rPr>
                <w:sz w:val="16"/>
              </w:rPr>
              <w:t>Social management</w:t>
            </w:r>
          </w:p>
        </w:tc>
        <w:tc>
          <w:tcPr>
            <w:tcW w:type="dxa" w:w="5083"/>
            <w:tcMar>
              <w:top w:w="85" w:type="dxa"/>
              <w:start w:w="85" w:type="dxa"/>
              <w:bottom w:w="85" w:type="dxa"/>
              <w:end w:w="85" w:type="dxa"/>
            </w:tcMar>
          </w:tcPr>
          <w:p>
            <w:r>
              <w:rPr>
                <w:sz w:val="16"/>
              </w:rPr>
              <w:t>Central scheduler with role-based access, approval workflow, link tracking, and an editorial calendar.</w:t>
            </w:r>
          </w:p>
        </w:tc>
      </w:tr>
      <w:tr>
        <w:tc>
          <w:tcPr>
            <w:tcW w:type="dxa" w:w="5083"/>
            <w:tcMar>
              <w:top w:w="85" w:type="dxa"/>
              <w:start w:w="85" w:type="dxa"/>
              <w:bottom w:w="85" w:type="dxa"/>
              <w:end w:w="85" w:type="dxa"/>
            </w:tcMar>
          </w:tcPr>
          <w:p>
            <w:r>
              <w:rPr>
                <w:sz w:val="16"/>
              </w:rPr>
              <w:t>Fulfillment partners</w:t>
            </w:r>
          </w:p>
        </w:tc>
        <w:tc>
          <w:tcPr>
            <w:tcW w:type="dxa" w:w="5083"/>
            <w:tcMar>
              <w:top w:w="85" w:type="dxa"/>
              <w:start w:w="85" w:type="dxa"/>
              <w:bottom w:w="85" w:type="dxa"/>
              <w:end w:w="85" w:type="dxa"/>
            </w:tcMar>
          </w:tcPr>
          <w:p>
            <w:r>
              <w:rPr>
                <w:sz w:val="16"/>
              </w:rPr>
              <w:t>Documented supplier relationships, order-status process, customer support handoff, and customer-facing delivery expectation.</w:t>
            </w:r>
          </w:p>
        </w:tc>
      </w:tr>
      <w:tr>
        <w:tc>
          <w:tcPr>
            <w:tcW w:type="dxa" w:w="5083"/>
            <w:tcMar>
              <w:top w:w="85" w:type="dxa"/>
              <w:start w:w="85" w:type="dxa"/>
              <w:bottom w:w="85" w:type="dxa"/>
              <w:end w:w="85" w:type="dxa"/>
            </w:tcMar>
          </w:tcPr>
          <w:p>
            <w:r>
              <w:rPr>
                <w:sz w:val="16"/>
              </w:rPr>
              <w:t>Analytics</w:t>
            </w:r>
          </w:p>
        </w:tc>
        <w:tc>
          <w:tcPr>
            <w:tcW w:type="dxa" w:w="5083"/>
            <w:tcMar>
              <w:top w:w="85" w:type="dxa"/>
              <w:start w:w="85" w:type="dxa"/>
              <w:bottom w:w="85" w:type="dxa"/>
              <w:end w:w="85" w:type="dxa"/>
            </w:tcMar>
          </w:tcPr>
          <w:p>
            <w:r>
              <w:rPr>
                <w:sz w:val="16"/>
              </w:rPr>
              <w:t>Track traffic source, conversion rate, average order value, return rate, request acceptance, fulfillment time, and repeat buyers.</w:t>
            </w:r>
          </w:p>
        </w:tc>
      </w:tr>
    </w:tbl>
    <w:p>
      <w:pPr>
        <w:pStyle w:val="Heading2"/>
      </w:pPr>
      <w:r>
        <w:t>Data principle</w:t>
      </w:r>
    </w:p>
    <w:p>
      <w:r>
        <w:t>Collect only the customer information required to deliver the offer, maintain support, comply with payment and promotional requirements, or protect the creator. Separate customer service data from content assets and restrict access by role.</w:t>
      </w:r>
    </w:p>
    <w:p>
      <w:r>
        <w:br w:type="page"/>
      </w:r>
    </w:p>
    <w:p>
      <w:pPr>
        <w:spacing w:before="40" w:after="80"/>
      </w:pPr>
      <w:r>
        <w:rPr>
          <w:rFonts w:ascii="Aptos" w:hAnsi="Aptos"/>
          <w:b/>
          <w:color w:val="FF3FA4"/>
          <w:sz w:val="18"/>
        </w:rPr>
        <w:t>08 / ROLLOUT &amp; MEASUREMENT</w:t>
      </w:r>
    </w:p>
    <w:p>
      <w:pPr>
        <w:pStyle w:val="Heading1"/>
      </w:pPr>
      <w:r>
        <w:t>Phased rollout</w:t>
      </w:r>
    </w:p>
    <w:p>
      <w:pPr>
        <w:pStyle w:val="Heading2"/>
      </w:pPr>
      <w:r>
        <w:t>Phase 1 - Foundation</w:t>
      </w:r>
    </w:p>
    <w:p>
      <w:r>
        <w:t>Launch branded site, policy pages, creator bio, fan request form, mailing-list capture, official merchandise routing, and a consistent social identity. Objective: establish a professional destination and collect demand signals.</w:t>
      </w:r>
    </w:p>
    <w:p>
      <w:pPr>
        <w:pStyle w:val="Heading2"/>
      </w:pPr>
      <w:r>
        <w:t>Phase 2 - First Drops</w:t>
      </w:r>
    </w:p>
    <w:p>
      <w:r>
        <w:t>Run one limited merchandise or collectible release and one structured request campaign. Objective: validate checkout, fulfillment, demand, average order value, and customer support process.</w:t>
      </w:r>
    </w:p>
    <w:p>
      <w:pPr>
        <w:pStyle w:val="Heading2"/>
      </w:pPr>
      <w:r>
        <w:t>Phase 3 - Auction &amp; Draw Pilot</w:t>
      </w:r>
    </w:p>
    <w:p>
      <w:r>
        <w:t>Introduce a small, controlled auction and a rules-based promotional draw only after the operational and legal design is ready. Objective: test scarcity mechanics and transparent winner/fulfillment process.</w:t>
      </w:r>
    </w:p>
    <w:p>
      <w:pPr>
        <w:pStyle w:val="Heading2"/>
      </w:pPr>
      <w:r>
        <w:t>Phase 4 - Signature Experiences</w:t>
      </w:r>
    </w:p>
    <w:p>
      <w:r>
        <w:t>Offer limited creator-approved public experiences with a mature safety plan, clear boundaries, and defined staff/support procedures. Objective: make the signature offer prestigious, controlled, and sustainable.</w:t>
      </w:r>
    </w:p>
    <w:p>
      <w:pPr>
        <w:pStyle w:val="Heading2"/>
      </w:pPr>
      <w:r>
        <w:t>Phase 5 - Membership &amp; Partnerships</w:t>
      </w:r>
    </w:p>
    <w:p>
      <w:r>
        <w:t>Add recurring fan access, digital drops, and carefully aligned brand/venue partnerships. Objective: diversify revenue and reduce dependence on one-off events.</w:t>
      </w:r>
    </w:p>
    <w:p>
      <w:pPr>
        <w:pStyle w:val="Heading2"/>
      </w:pPr>
      <w:r>
        <w:t>Core KPIs</w:t>
      </w:r>
    </w:p>
    <w:p>
      <w:pPr>
        <w:pStyle w:val="ListBullet"/>
        <w:spacing w:after="60"/>
      </w:pPr>
      <w:r>
        <w:t>Audience growth: email/SMS waitlist growth and owned-site traffic.</w:t>
      </w:r>
    </w:p>
    <w:p>
      <w:pPr>
        <w:pStyle w:val="ListBullet"/>
        <w:spacing w:after="60"/>
      </w:pPr>
      <w:r>
        <w:t>Conversion: visit-to-purchase rate, request submission rate, draw-entry rate.</w:t>
      </w:r>
    </w:p>
    <w:p>
      <w:pPr>
        <w:pStyle w:val="ListBullet"/>
        <w:spacing w:after="60"/>
      </w:pPr>
      <w:r>
        <w:t>Revenue: gross sales, net margin by offer type, average order value, repeat purchase rate.</w:t>
      </w:r>
    </w:p>
    <w:p>
      <w:pPr>
        <w:pStyle w:val="ListBullet"/>
        <w:spacing w:after="60"/>
      </w:pPr>
      <w:r>
        <w:t>Operations: fulfillment time, shipping exception rate, refund rate, support response time.</w:t>
      </w:r>
    </w:p>
    <w:p>
      <w:pPr>
        <w:pStyle w:val="ListBullet"/>
        <w:spacing w:after="60"/>
      </w:pPr>
      <w:r>
        <w:t>Brand quality: creator approval rate, customer satisfaction, complaint rate, safety incident count.</w:t>
      </w:r>
    </w:p>
    <w:p>
      <w:pPr>
        <w:pStyle w:val="ListBullet"/>
        <w:spacing w:after="60"/>
      </w:pPr>
      <w:r>
        <w:t>Content: reach, click-through rate, saves/shares, offer-page conversion by channel.</w:t>
      </w:r>
    </w:p>
    <w:p>
      <w:r>
        <w:br w:type="page"/>
      </w:r>
    </w:p>
    <w:p>
      <w:pPr>
        <w:spacing w:before="40" w:after="80"/>
      </w:pPr>
      <w:r>
        <w:rPr>
          <w:rFonts w:ascii="Aptos" w:hAnsi="Aptos"/>
          <w:b/>
          <w:color w:val="FF3FA4"/>
          <w:sz w:val="18"/>
        </w:rPr>
        <w:t>09 / CREATOR GOVERNANCE</w:t>
      </w:r>
    </w:p>
    <w:p>
      <w:pPr>
        <w:pStyle w:val="Heading1"/>
      </w:pPr>
      <w:r>
        <w:t>Creator control is non-negotiable</w:t>
      </w:r>
    </w:p>
    <w:p>
      <w:r>
        <w:t>BritMeow should not become a machine that extracts attention at the cost of the creator’s comfort, safety, or reputation. The creator has final approval over brand use, offer categories, personal-item eligibility, requests, schedules, images, public statements, and experience format.</w:t>
      </w:r>
    </w:p>
    <w:p>
      <w:pPr>
        <w:pStyle w:val="Heading2"/>
      </w:pPr>
      <w:r>
        <w:t>Required operating decisions before launch</w:t>
      </w:r>
    </w:p>
    <w:p>
      <w:pPr>
        <w:pStyle w:val="ListBullet"/>
        <w:spacing w:after="60"/>
      </w:pPr>
      <w:r>
        <w:t>Approved and prohibited offer categories.</w:t>
      </w:r>
    </w:p>
    <w:p>
      <w:pPr>
        <w:pStyle w:val="ListBullet"/>
        <w:spacing w:after="60"/>
      </w:pPr>
      <w:r>
        <w:t>Boundaries for in-person experiences, photos, touch, travel, alcohol, staff, and venue selection.</w:t>
      </w:r>
    </w:p>
    <w:p>
      <w:pPr>
        <w:pStyle w:val="ListBullet"/>
        <w:spacing w:after="60"/>
      </w:pPr>
      <w:r>
        <w:t>Pricing rules and margin targets by offer type.</w:t>
      </w:r>
    </w:p>
    <w:p>
      <w:pPr>
        <w:pStyle w:val="ListBullet"/>
        <w:spacing w:after="60"/>
      </w:pPr>
      <w:r>
        <w:t>Auction and draw rules, eligibility, cancellation, refund, and dispute handling.</w:t>
      </w:r>
    </w:p>
    <w:p>
      <w:pPr>
        <w:pStyle w:val="ListBullet"/>
        <w:spacing w:after="60"/>
      </w:pPr>
      <w:r>
        <w:t>Personal-item authentication, condition, and shipping policy.</w:t>
      </w:r>
    </w:p>
    <w:p>
      <w:pPr>
        <w:pStyle w:val="ListBullet"/>
        <w:spacing w:after="60"/>
      </w:pPr>
      <w:r>
        <w:t>Merchandise partner selection and customer-support responsibility split.</w:t>
      </w:r>
    </w:p>
    <w:p>
      <w:pPr>
        <w:pStyle w:val="ListBullet"/>
        <w:spacing w:after="60"/>
      </w:pPr>
      <w:r>
        <w:t>Content approval workflow and social-account ownership/access controls.</w:t>
      </w:r>
    </w:p>
    <w:p>
      <w:pPr>
        <w:pStyle w:val="ListBullet"/>
        <w:spacing w:after="60"/>
      </w:pPr>
      <w:r>
        <w:t>Customer privacy, data retention, moderation, and incident escalation procedures.</w:t>
      </w:r>
    </w:p>
    <w:p>
      <w:pPr>
        <w:pStyle w:val="Heading2"/>
      </w:pPr>
      <w:r>
        <w:t>Conclusion</w:t>
      </w:r>
    </w:p>
    <w:p>
      <w:r>
        <w:t>BritMeow is not simply a merchandise page or a social profile. It is a creator-led commercial system: a way to turn fandom into clear, safe, collectible, and repeatable offers without giving away the creator’s boundaries or control. The strongest version of the business is selective, transparent, operationally disciplined, and unmistakably personal to the creator.</w:t>
      </w:r>
    </w:p>
    <w:tbl>
      <w:tblPr>
        <w:tblW w:type="auto" w:w="0"/>
        <w:jc w:val="center"/>
        <w:tblLook w:firstColumn="1" w:firstRow="1" w:lastColumn="0" w:lastRow="0" w:noHBand="0" w:noVBand="1" w:val="04A0"/>
      </w:tblPr>
      <w:tblGrid>
        <w:gridCol w:w="10166"/>
      </w:tblGrid>
      <w:tr>
        <w:tc>
          <w:tcPr>
            <w:tcW w:type="dxa" w:w="10166"/>
            <w:shd w:fill="111118"/>
            <w:tcMar>
              <w:top w:w="220" w:type="dxa"/>
              <w:start w:w="260" w:type="dxa"/>
              <w:bottom w:w="220" w:type="dxa"/>
              <w:end w:w="260" w:type="dxa"/>
            </w:tcMar>
          </w:tcPr>
          <w:p>
            <w:pPr>
              <w:jc w:val="center"/>
            </w:pPr>
            <w:r>
              <w:rPr>
                <w:b/>
                <w:color w:val="FFFFFF"/>
                <w:sz w:val="48"/>
              </w:rPr>
              <w:t>BRITMEOW</w:t>
            </w:r>
          </w:p>
          <w:p>
            <w:pPr>
              <w:jc w:val="center"/>
            </w:pPr>
            <w:r>
              <w:rPr>
                <w:color w:val="FF77C8"/>
                <w:sz w:val="24"/>
              </w:rPr>
              <w:t>Creator-led. Fan-powered. Clearly structured.</w:t>
            </w:r>
          </w:p>
          <w:p>
            <w:pPr>
              <w:jc w:val="center"/>
            </w:pPr>
            <w:r>
              <w:rPr>
                <w:color w:val="FFFFFF"/>
                <w:sz w:val="17"/>
              </w:rPr>
              <w:t>Working draft - validate promotion, consumer, privacy, tax, payment, and local operating requirements before public launch.</w:t>
            </w:r>
          </w:p>
        </w:tc>
      </w:tr>
    </w:tbl>
    <w:sectPr w:rsidR="00FC693F" w:rsidRPr="0006063C" w:rsidSect="00034616">
      <w:footerReference w:type="default" r:id="rId9"/>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606A"/>
        <w:sz w:val="16"/>
      </w:rPr>
      <w:t>BritMeow - Working Draft | Confidential</w:t>
    </w:r>
    <w:r>
      <w:rPr>
        <w:color w:val="65606A"/>
        <w:sz w:val="16"/>
      </w:rPr>
      <w:t>BritMeow - Working Draft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111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11118"/>
      <w:sz w:val="4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w:hAnsi="Aptos"/>
      <w:b/>
      <w:bCs/>
      <w:color w:val="FF3FA4"/>
      <w:sz w:val="30"/>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w:hAnsi="Aptos"/>
      <w:b/>
      <w:bCs/>
      <w:color w:val="1111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11118"/>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BritMeow Whitepaper - Working Draft</dc:title>
  <dc:subject/>
  <dc:creator>BritMeow</dc:creator>
  <cp:keywords/>
  <dc:description>generated by python-docx</dc:description>
  <cp:lastModifiedBy/>
  <cp:revision>1</cp:revision>
  <dcterms:created xsi:type="dcterms:W3CDTF">2013-12-23T23:15:00Z</dcterms:created>
  <dcterms:modified xsi:type="dcterms:W3CDTF">2013-12-23T23:15:00Z</dcterms:modified>
  <cp:category/>
</cp:coreProperties>
</file>