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60CD7" w14:textId="77777777" w:rsidR="00F86FAE" w:rsidRPr="00A469AA" w:rsidRDefault="003D6558" w:rsidP="00A469AA">
      <w:pPr>
        <w:pStyle w:val="Title"/>
        <w:rPr>
          <w:rFonts w:ascii="Verdana" w:hAnsi="Verdana"/>
          <w:color w:val="2E3591"/>
        </w:rPr>
      </w:pPr>
      <w:r w:rsidRPr="00A469AA">
        <w:rPr>
          <w:rFonts w:ascii="Verdana" w:hAnsi="Verdana"/>
          <w:color w:val="2E3591"/>
        </w:rPr>
        <w:t>Criminal Justice Data Dashboard</w:t>
      </w:r>
    </w:p>
    <w:p w14:paraId="1DC74509" w14:textId="77777777" w:rsidR="003D6558" w:rsidRPr="000A19DD" w:rsidRDefault="003D6558" w:rsidP="00A469AA">
      <w:pPr>
        <w:spacing w:after="0"/>
        <w:rPr>
          <w:rFonts w:ascii="Verdana" w:hAnsi="Verdana"/>
        </w:rPr>
      </w:pPr>
      <w:r w:rsidRPr="000A19DD">
        <w:rPr>
          <w:rFonts w:ascii="Verdana" w:hAnsi="Verdana"/>
        </w:rPr>
        <w:t xml:space="preserve">Online dashboard: </w:t>
      </w:r>
      <w:hyperlink r:id="rId9" w:history="1">
        <w:r w:rsidRPr="000A19DD">
          <w:rPr>
            <w:rStyle w:val="Hyperlink"/>
            <w:rFonts w:ascii="Verdana" w:hAnsi="Verdana"/>
          </w:rPr>
          <w:t>https://www.njoag.gov/justicedata/</w:t>
        </w:r>
      </w:hyperlink>
    </w:p>
    <w:p w14:paraId="00B03534" w14:textId="77777777" w:rsidR="003D6558" w:rsidRPr="000A19DD" w:rsidRDefault="003D6558" w:rsidP="00A469AA">
      <w:pPr>
        <w:spacing w:after="0"/>
        <w:rPr>
          <w:rFonts w:ascii="Verdana" w:hAnsi="Verdana"/>
        </w:rPr>
      </w:pPr>
    </w:p>
    <w:p w14:paraId="02F5B195" w14:textId="73B78BF9" w:rsidR="00EA7F0D" w:rsidRPr="000A19DD" w:rsidRDefault="00EA7F0D" w:rsidP="00A469AA">
      <w:pPr>
        <w:spacing w:after="0"/>
        <w:rPr>
          <w:rFonts w:ascii="Verdana" w:hAnsi="Verdana"/>
        </w:rPr>
      </w:pPr>
      <w:r w:rsidRPr="000A19DD">
        <w:rPr>
          <w:rFonts w:ascii="Verdana" w:hAnsi="Verdana"/>
        </w:rPr>
        <w:t xml:space="preserve">The New Jersey </w:t>
      </w:r>
      <w:r w:rsidR="00805E2B">
        <w:rPr>
          <w:rFonts w:ascii="Verdana" w:hAnsi="Verdana"/>
        </w:rPr>
        <w:t>L</w:t>
      </w:r>
      <w:r w:rsidR="00805E2B" w:rsidRPr="000A19DD">
        <w:rPr>
          <w:rFonts w:ascii="Verdana" w:hAnsi="Verdana"/>
        </w:rPr>
        <w:t xml:space="preserve">egislature </w:t>
      </w:r>
      <w:r w:rsidRPr="000A19DD">
        <w:rPr>
          <w:rFonts w:ascii="Verdana" w:hAnsi="Verdana"/>
        </w:rPr>
        <w:t>enacted a law requiring the Attorney General to “establish a program to collect, record, and analyze data” regarding defendants in the State’s criminal justice system, including all aspects of a defendant’s passage through the justice system, from arrest to prosecution to release from custody. N.J.S.A. 52:17B-111.1(1)(a)</w:t>
      </w:r>
    </w:p>
    <w:p w14:paraId="26AA629F" w14:textId="77777777" w:rsidR="00801704" w:rsidRPr="000A19DD" w:rsidRDefault="00801704" w:rsidP="00A469AA">
      <w:pPr>
        <w:spacing w:after="0"/>
        <w:rPr>
          <w:rFonts w:ascii="Verdana" w:hAnsi="Verdana"/>
        </w:rPr>
      </w:pPr>
    </w:p>
    <w:p w14:paraId="7196234B" w14:textId="77777777" w:rsidR="00EA7F0D" w:rsidRPr="000A19DD" w:rsidRDefault="00EA7F0D" w:rsidP="00A469AA">
      <w:pPr>
        <w:spacing w:after="0"/>
        <w:rPr>
          <w:rFonts w:ascii="Verdana" w:hAnsi="Verdana"/>
        </w:rPr>
      </w:pPr>
      <w:r w:rsidRPr="000A19DD">
        <w:rPr>
          <w:rFonts w:ascii="Verdana" w:hAnsi="Verdana"/>
        </w:rPr>
        <w:t xml:space="preserve">Data will include the following data elements for adult defendants (eighteen and older) arrested for alleged indictable offense(s): </w:t>
      </w:r>
    </w:p>
    <w:p w14:paraId="27D4E846" w14:textId="77777777" w:rsidR="00EA7F0D" w:rsidRPr="000A19DD" w:rsidRDefault="00EA7F0D" w:rsidP="00A469AA">
      <w:pPr>
        <w:pStyle w:val="ListParagraph"/>
        <w:numPr>
          <w:ilvl w:val="0"/>
          <w:numId w:val="3"/>
        </w:numPr>
        <w:spacing w:after="0"/>
        <w:rPr>
          <w:rFonts w:ascii="Verdana" w:hAnsi="Verdana"/>
        </w:rPr>
      </w:pPr>
      <w:r w:rsidRPr="000A19DD">
        <w:rPr>
          <w:rFonts w:ascii="Verdana" w:hAnsi="Verdana"/>
        </w:rPr>
        <w:t xml:space="preserve">Warrants, arrests, charges, filing of criminal complaints, and indictments; </w:t>
      </w:r>
    </w:p>
    <w:p w14:paraId="2DDF9694" w14:textId="77777777" w:rsidR="00EA7F0D" w:rsidRPr="000A19DD" w:rsidRDefault="00EA7F0D" w:rsidP="00A469AA">
      <w:pPr>
        <w:pStyle w:val="ListParagraph"/>
        <w:numPr>
          <w:ilvl w:val="0"/>
          <w:numId w:val="3"/>
        </w:numPr>
        <w:spacing w:after="0"/>
        <w:rPr>
          <w:rFonts w:ascii="Verdana" w:hAnsi="Verdana"/>
        </w:rPr>
      </w:pPr>
      <w:r w:rsidRPr="000A19DD">
        <w:rPr>
          <w:rFonts w:ascii="Verdana" w:hAnsi="Verdana"/>
        </w:rPr>
        <w:t xml:space="preserve">Dismissed charges; </w:t>
      </w:r>
    </w:p>
    <w:p w14:paraId="75A07ABD" w14:textId="77777777" w:rsidR="00EA7F0D" w:rsidRPr="000A19DD" w:rsidRDefault="00EA7F0D" w:rsidP="00A469AA">
      <w:pPr>
        <w:pStyle w:val="ListParagraph"/>
        <w:numPr>
          <w:ilvl w:val="0"/>
          <w:numId w:val="3"/>
        </w:numPr>
        <w:spacing w:after="0"/>
        <w:rPr>
          <w:rFonts w:ascii="Verdana" w:hAnsi="Verdana"/>
        </w:rPr>
      </w:pPr>
      <w:r w:rsidRPr="000A19DD">
        <w:rPr>
          <w:rFonts w:ascii="Verdana" w:hAnsi="Verdana"/>
        </w:rPr>
        <w:t xml:space="preserve">The disposition of cases, including convictions; </w:t>
      </w:r>
    </w:p>
    <w:p w14:paraId="28918FBC" w14:textId="77777777" w:rsidR="00EA7F0D" w:rsidRPr="000A19DD" w:rsidRDefault="00EA7F0D" w:rsidP="00A469AA">
      <w:pPr>
        <w:pStyle w:val="ListParagraph"/>
        <w:numPr>
          <w:ilvl w:val="0"/>
          <w:numId w:val="3"/>
        </w:numPr>
        <w:spacing w:after="0"/>
        <w:rPr>
          <w:rFonts w:ascii="Verdana" w:hAnsi="Verdana"/>
        </w:rPr>
      </w:pPr>
      <w:r w:rsidRPr="000A19DD">
        <w:rPr>
          <w:rFonts w:ascii="Verdana" w:hAnsi="Verdana"/>
        </w:rPr>
        <w:t>Court fees and fines</w:t>
      </w:r>
      <w:r w:rsidR="00D12398">
        <w:rPr>
          <w:rFonts w:ascii="Verdana" w:hAnsi="Verdana"/>
        </w:rPr>
        <w:t xml:space="preserve"> ordered</w:t>
      </w:r>
      <w:r w:rsidRPr="000A19DD">
        <w:rPr>
          <w:rFonts w:ascii="Verdana" w:hAnsi="Verdana"/>
        </w:rPr>
        <w:t xml:space="preserve">; and </w:t>
      </w:r>
    </w:p>
    <w:p w14:paraId="7343E880" w14:textId="77777777" w:rsidR="00EA7F0D" w:rsidRPr="000A19DD" w:rsidRDefault="00EA7F0D" w:rsidP="00A469AA">
      <w:pPr>
        <w:pStyle w:val="ListParagraph"/>
        <w:numPr>
          <w:ilvl w:val="0"/>
          <w:numId w:val="3"/>
        </w:numPr>
        <w:spacing w:after="0"/>
        <w:rPr>
          <w:rFonts w:ascii="Verdana" w:hAnsi="Verdana"/>
        </w:rPr>
      </w:pPr>
      <w:r w:rsidRPr="000A19DD">
        <w:rPr>
          <w:rFonts w:ascii="Verdana" w:hAnsi="Verdana"/>
        </w:rPr>
        <w:t xml:space="preserve">Restitution amounts ordered. </w:t>
      </w:r>
    </w:p>
    <w:p w14:paraId="0F3B621A" w14:textId="77777777" w:rsidR="008674E1" w:rsidRDefault="008674E1" w:rsidP="00A469AA">
      <w:pPr>
        <w:spacing w:after="0"/>
        <w:rPr>
          <w:rFonts w:ascii="Verdana" w:hAnsi="Verdana"/>
        </w:rPr>
      </w:pPr>
    </w:p>
    <w:p w14:paraId="50CFE445" w14:textId="5C370D23" w:rsidR="008674E1" w:rsidRDefault="00EA7F0D" w:rsidP="00A469AA">
      <w:pPr>
        <w:spacing w:after="0"/>
        <w:rPr>
          <w:rFonts w:ascii="Verdana" w:hAnsi="Verdana"/>
        </w:rPr>
      </w:pPr>
      <w:r w:rsidRPr="000A19DD">
        <w:rPr>
          <w:rFonts w:ascii="Verdana" w:hAnsi="Verdana"/>
        </w:rPr>
        <w:t xml:space="preserve">This consolidation of this data was born out of collaboration between the Office of the Attorney General, New Jersey Courts, the Department of Corrections, the State Parole Board, the New Jersey State Police, and Rutgers University. </w:t>
      </w:r>
    </w:p>
    <w:p w14:paraId="46FFEB08" w14:textId="77777777" w:rsidR="00841258" w:rsidRDefault="00841258" w:rsidP="00A469AA">
      <w:pPr>
        <w:spacing w:after="0"/>
        <w:rPr>
          <w:rFonts w:ascii="Verdana" w:hAnsi="Verdana"/>
        </w:rPr>
      </w:pPr>
    </w:p>
    <w:p w14:paraId="52750581" w14:textId="77777777" w:rsidR="008674E1" w:rsidRPr="000A19DD" w:rsidRDefault="008674E1" w:rsidP="00A469AA">
      <w:pPr>
        <w:spacing w:after="0"/>
        <w:rPr>
          <w:rFonts w:ascii="Verdana" w:hAnsi="Verdana"/>
        </w:rPr>
      </w:pPr>
      <w:r w:rsidRPr="003B5E7A">
        <w:rPr>
          <w:rFonts w:ascii="Verdana" w:hAnsi="Verdana"/>
          <w:b/>
        </w:rPr>
        <w:t>Note</w:t>
      </w:r>
      <w:r>
        <w:rPr>
          <w:rFonts w:ascii="Verdana" w:hAnsi="Verdana"/>
        </w:rPr>
        <w:t xml:space="preserve">: </w:t>
      </w:r>
      <w:r w:rsidRPr="008674E1">
        <w:rPr>
          <w:rFonts w:ascii="Verdana" w:hAnsi="Verdana"/>
        </w:rPr>
        <w:t>The data in both the Chapter 120 Dashboard and the Download File are de-identified, meaning the identity of each person has been removed and anonymized</w:t>
      </w:r>
      <w:r>
        <w:rPr>
          <w:rFonts w:ascii="Verdana" w:hAnsi="Verdana"/>
        </w:rPr>
        <w:t>.</w:t>
      </w:r>
    </w:p>
    <w:p w14:paraId="6E6108EA" w14:textId="77777777" w:rsidR="003D6558" w:rsidRPr="000A19DD" w:rsidRDefault="003D6558" w:rsidP="00A469AA">
      <w:pPr>
        <w:spacing w:after="0"/>
        <w:rPr>
          <w:rFonts w:ascii="Verdana" w:hAnsi="Verdana"/>
        </w:rPr>
      </w:pPr>
    </w:p>
    <w:p w14:paraId="1B9FFE28" w14:textId="77777777" w:rsidR="003D6558" w:rsidRPr="00A469AA" w:rsidRDefault="00A26C8A" w:rsidP="00A469AA">
      <w:pPr>
        <w:pStyle w:val="Heading1"/>
        <w:spacing w:before="0"/>
        <w:rPr>
          <w:rFonts w:ascii="Verdana" w:hAnsi="Verdana"/>
          <w:color w:val="2E3591"/>
        </w:rPr>
      </w:pPr>
      <w:r w:rsidRPr="00A469AA">
        <w:rPr>
          <w:rFonts w:ascii="Verdana" w:hAnsi="Verdana"/>
          <w:color w:val="2E3591"/>
        </w:rPr>
        <w:t>Data Files</w:t>
      </w:r>
    </w:p>
    <w:p w14:paraId="63E615D4" w14:textId="77777777" w:rsidR="00A26C8A" w:rsidRPr="000A19DD" w:rsidRDefault="00A26C8A" w:rsidP="00A469AA">
      <w:pPr>
        <w:spacing w:after="0"/>
        <w:rPr>
          <w:rFonts w:ascii="Verdana" w:hAnsi="Verdana"/>
        </w:rPr>
      </w:pPr>
      <w:r w:rsidRPr="000A19DD">
        <w:rPr>
          <w:rFonts w:ascii="Verdana" w:hAnsi="Verdana"/>
        </w:rPr>
        <w:t xml:space="preserve">The raw data of the dashboards is provided in </w:t>
      </w:r>
      <w:r w:rsidR="00A31159">
        <w:rPr>
          <w:rFonts w:ascii="Verdana" w:hAnsi="Verdana"/>
        </w:rPr>
        <w:t>the following tables</w:t>
      </w:r>
      <w:r w:rsidRPr="000A19DD">
        <w:rPr>
          <w:rFonts w:ascii="Verdana" w:hAnsi="Verdana"/>
        </w:rPr>
        <w:t>: Defendant</w:t>
      </w:r>
      <w:r w:rsidR="00A31159">
        <w:rPr>
          <w:rFonts w:ascii="Verdana" w:hAnsi="Verdana"/>
        </w:rPr>
        <w:t xml:space="preserve"> Charges, Incarcerated Defendants,</w:t>
      </w:r>
      <w:r w:rsidRPr="000A19DD">
        <w:rPr>
          <w:rFonts w:ascii="Verdana" w:hAnsi="Verdana"/>
        </w:rPr>
        <w:t xml:space="preserve"> and Fines, Fees, and Restitution. </w:t>
      </w:r>
      <w:r w:rsidR="00F10E47">
        <w:rPr>
          <w:rFonts w:ascii="Verdana" w:hAnsi="Verdana"/>
        </w:rPr>
        <w:t xml:space="preserve">The </w:t>
      </w:r>
      <w:r w:rsidR="00A31159">
        <w:rPr>
          <w:rFonts w:ascii="Verdana" w:hAnsi="Verdana"/>
        </w:rPr>
        <w:t>D</w:t>
      </w:r>
      <w:r w:rsidR="00F10E47">
        <w:rPr>
          <w:rFonts w:ascii="Verdana" w:hAnsi="Verdana"/>
        </w:rPr>
        <w:t>efendant</w:t>
      </w:r>
      <w:r w:rsidRPr="000A19DD">
        <w:rPr>
          <w:rFonts w:ascii="Verdana" w:hAnsi="Verdana"/>
        </w:rPr>
        <w:t xml:space="preserve"> </w:t>
      </w:r>
      <w:r w:rsidR="00A31159">
        <w:rPr>
          <w:rFonts w:ascii="Verdana" w:hAnsi="Verdana"/>
        </w:rPr>
        <w:t xml:space="preserve">Charges </w:t>
      </w:r>
      <w:r w:rsidRPr="000A19DD">
        <w:rPr>
          <w:rFonts w:ascii="Verdana" w:hAnsi="Verdana"/>
        </w:rPr>
        <w:t>file is broken down by year due to size</w:t>
      </w:r>
      <w:r w:rsidR="0001678D" w:rsidRPr="000A19DD">
        <w:rPr>
          <w:rFonts w:ascii="Verdana" w:hAnsi="Verdana"/>
        </w:rPr>
        <w:t>.</w:t>
      </w:r>
      <w:r w:rsidR="00F10E47">
        <w:rPr>
          <w:rFonts w:ascii="Verdana" w:hAnsi="Verdana"/>
        </w:rPr>
        <w:t xml:space="preserve"> The files can be linked by the “ID” field.</w:t>
      </w:r>
    </w:p>
    <w:p w14:paraId="0CE042EE" w14:textId="77777777" w:rsidR="003D6558" w:rsidRPr="000A19DD" w:rsidRDefault="003D6558" w:rsidP="00A469AA">
      <w:pPr>
        <w:spacing w:after="0"/>
        <w:rPr>
          <w:rFonts w:ascii="Verdana" w:hAnsi="Verdana"/>
        </w:rPr>
      </w:pPr>
    </w:p>
    <w:p w14:paraId="127460EE" w14:textId="77777777" w:rsidR="003D6558" w:rsidRPr="00A469AA" w:rsidRDefault="003D6558" w:rsidP="00A469AA">
      <w:pPr>
        <w:pStyle w:val="Heading3"/>
        <w:spacing w:before="0"/>
        <w:rPr>
          <w:rFonts w:ascii="Verdana" w:eastAsia="Times New Roman" w:hAnsi="Verdana"/>
          <w:color w:val="2E3591"/>
        </w:rPr>
      </w:pPr>
      <w:r w:rsidRPr="00A469AA">
        <w:rPr>
          <w:rFonts w:ascii="Verdana" w:eastAsia="Times New Roman" w:hAnsi="Verdana"/>
          <w:color w:val="2E3591"/>
        </w:rPr>
        <w:t>Defendant</w:t>
      </w:r>
      <w:r w:rsidR="007B09AD">
        <w:rPr>
          <w:rFonts w:ascii="Verdana" w:eastAsia="Times New Roman" w:hAnsi="Verdana"/>
          <w:color w:val="2E3591"/>
        </w:rPr>
        <w:t xml:space="preserve"> Charges</w:t>
      </w:r>
    </w:p>
    <w:tbl>
      <w:tblPr>
        <w:tblStyle w:val="TableGrid"/>
        <w:tblW w:w="0" w:type="auto"/>
        <w:tblLook w:val="04A0" w:firstRow="1" w:lastRow="0" w:firstColumn="1" w:lastColumn="0" w:noHBand="0" w:noVBand="1"/>
      </w:tblPr>
      <w:tblGrid>
        <w:gridCol w:w="1754"/>
        <w:gridCol w:w="1481"/>
        <w:gridCol w:w="6115"/>
      </w:tblGrid>
      <w:tr w:rsidR="006A2955" w:rsidRPr="006A2955" w14:paraId="5DBC0B9E" w14:textId="77777777" w:rsidTr="00C3670E">
        <w:trPr>
          <w:trHeight w:val="288"/>
        </w:trPr>
        <w:tc>
          <w:tcPr>
            <w:tcW w:w="1754" w:type="dxa"/>
            <w:noWrap/>
            <w:hideMark/>
          </w:tcPr>
          <w:p w14:paraId="15B75458" w14:textId="77777777" w:rsidR="006A2955" w:rsidRPr="00C3670E" w:rsidRDefault="006A2955" w:rsidP="00A469AA">
            <w:pPr>
              <w:rPr>
                <w:rFonts w:ascii="Verdana" w:hAnsi="Verdana"/>
                <w:b/>
              </w:rPr>
            </w:pPr>
            <w:r w:rsidRPr="00C3670E">
              <w:rPr>
                <w:rFonts w:ascii="Verdana" w:hAnsi="Verdana"/>
                <w:b/>
              </w:rPr>
              <w:t>Field Name</w:t>
            </w:r>
          </w:p>
        </w:tc>
        <w:tc>
          <w:tcPr>
            <w:tcW w:w="7596" w:type="dxa"/>
            <w:gridSpan w:val="2"/>
            <w:noWrap/>
            <w:hideMark/>
          </w:tcPr>
          <w:p w14:paraId="352B6B31" w14:textId="77777777" w:rsidR="006A2955" w:rsidRPr="00C3670E" w:rsidRDefault="006A2955" w:rsidP="00A469AA">
            <w:pPr>
              <w:rPr>
                <w:rFonts w:ascii="Verdana" w:hAnsi="Verdana"/>
                <w:b/>
              </w:rPr>
            </w:pPr>
            <w:r w:rsidRPr="00C3670E">
              <w:rPr>
                <w:rFonts w:ascii="Verdana" w:hAnsi="Verdana"/>
                <w:b/>
              </w:rPr>
              <w:t>Description</w:t>
            </w:r>
          </w:p>
        </w:tc>
      </w:tr>
      <w:tr w:rsidR="006A2955" w:rsidRPr="006A2955" w14:paraId="220CB138" w14:textId="77777777" w:rsidTr="00C3670E">
        <w:trPr>
          <w:trHeight w:val="288"/>
        </w:trPr>
        <w:tc>
          <w:tcPr>
            <w:tcW w:w="1754" w:type="dxa"/>
            <w:noWrap/>
            <w:hideMark/>
          </w:tcPr>
          <w:p w14:paraId="12169DEB" w14:textId="77777777" w:rsidR="006A2955" w:rsidRPr="006A2955" w:rsidRDefault="006A2955" w:rsidP="00A469AA">
            <w:pPr>
              <w:rPr>
                <w:rFonts w:ascii="Verdana" w:hAnsi="Verdana"/>
              </w:rPr>
            </w:pPr>
            <w:r w:rsidRPr="006A2955">
              <w:rPr>
                <w:rFonts w:ascii="Verdana" w:hAnsi="Verdana"/>
              </w:rPr>
              <w:t>ID</w:t>
            </w:r>
          </w:p>
        </w:tc>
        <w:tc>
          <w:tcPr>
            <w:tcW w:w="7596" w:type="dxa"/>
            <w:gridSpan w:val="2"/>
            <w:noWrap/>
            <w:hideMark/>
          </w:tcPr>
          <w:p w14:paraId="08B4FAF8" w14:textId="06DC8E32" w:rsidR="006A2955" w:rsidRPr="006A2955" w:rsidRDefault="006A2955" w:rsidP="00A469AA">
            <w:pPr>
              <w:rPr>
                <w:rFonts w:ascii="Verdana" w:hAnsi="Verdana"/>
              </w:rPr>
            </w:pPr>
            <w:r w:rsidRPr="006A2955">
              <w:rPr>
                <w:rFonts w:ascii="Verdana" w:hAnsi="Verdana"/>
              </w:rPr>
              <w:t>An anonymized unique identifier for defendants</w:t>
            </w:r>
          </w:p>
        </w:tc>
      </w:tr>
      <w:tr w:rsidR="00C3670E" w:rsidRPr="006A2955" w14:paraId="3F7B9DEA" w14:textId="77777777" w:rsidTr="00C3670E">
        <w:trPr>
          <w:trHeight w:val="288"/>
        </w:trPr>
        <w:tc>
          <w:tcPr>
            <w:tcW w:w="1754" w:type="dxa"/>
            <w:noWrap/>
            <w:hideMark/>
          </w:tcPr>
          <w:p w14:paraId="5BF782DD" w14:textId="77777777" w:rsidR="00C3670E" w:rsidRPr="006A2955" w:rsidRDefault="00C3670E" w:rsidP="00A469AA">
            <w:pPr>
              <w:rPr>
                <w:rFonts w:ascii="Verdana" w:hAnsi="Verdana"/>
              </w:rPr>
            </w:pPr>
            <w:r w:rsidRPr="006A2955">
              <w:rPr>
                <w:rFonts w:ascii="Verdana" w:hAnsi="Verdana"/>
              </w:rPr>
              <w:t>County</w:t>
            </w:r>
          </w:p>
        </w:tc>
        <w:tc>
          <w:tcPr>
            <w:tcW w:w="7596" w:type="dxa"/>
            <w:gridSpan w:val="2"/>
            <w:noWrap/>
            <w:hideMark/>
          </w:tcPr>
          <w:p w14:paraId="41644A1A" w14:textId="77777777" w:rsidR="00C3670E" w:rsidRPr="006A2955" w:rsidRDefault="00C3670E" w:rsidP="00A469AA">
            <w:pPr>
              <w:rPr>
                <w:rFonts w:ascii="Verdana" w:hAnsi="Verdana"/>
              </w:rPr>
            </w:pPr>
            <w:r w:rsidRPr="006A2955">
              <w:rPr>
                <w:rFonts w:ascii="Verdana" w:hAnsi="Verdana"/>
              </w:rPr>
              <w:t>County of arrest</w:t>
            </w:r>
          </w:p>
        </w:tc>
      </w:tr>
      <w:tr w:rsidR="00C3670E" w:rsidRPr="006A2955" w14:paraId="705950E6" w14:textId="77777777" w:rsidTr="00C3670E">
        <w:trPr>
          <w:trHeight w:val="288"/>
        </w:trPr>
        <w:tc>
          <w:tcPr>
            <w:tcW w:w="1754" w:type="dxa"/>
            <w:noWrap/>
            <w:hideMark/>
          </w:tcPr>
          <w:p w14:paraId="0465E504" w14:textId="77777777" w:rsidR="00C3670E" w:rsidRPr="006A2955" w:rsidRDefault="00C3670E" w:rsidP="00A469AA">
            <w:pPr>
              <w:rPr>
                <w:rFonts w:ascii="Verdana" w:hAnsi="Verdana"/>
              </w:rPr>
            </w:pPr>
            <w:r w:rsidRPr="006A2955">
              <w:rPr>
                <w:rFonts w:ascii="Verdana" w:hAnsi="Verdana"/>
              </w:rPr>
              <w:t>Arrest Year</w:t>
            </w:r>
          </w:p>
        </w:tc>
        <w:tc>
          <w:tcPr>
            <w:tcW w:w="7596" w:type="dxa"/>
            <w:gridSpan w:val="2"/>
            <w:noWrap/>
            <w:hideMark/>
          </w:tcPr>
          <w:p w14:paraId="540F771C" w14:textId="77777777" w:rsidR="00C3670E" w:rsidRPr="006A2955" w:rsidRDefault="00C3670E" w:rsidP="00A469AA">
            <w:pPr>
              <w:rPr>
                <w:rFonts w:ascii="Verdana" w:hAnsi="Verdana"/>
              </w:rPr>
            </w:pPr>
            <w:r w:rsidRPr="006A2955">
              <w:rPr>
                <w:rFonts w:ascii="Verdana" w:hAnsi="Verdana"/>
              </w:rPr>
              <w:t>Year of arrest</w:t>
            </w:r>
          </w:p>
        </w:tc>
      </w:tr>
      <w:tr w:rsidR="00C3670E" w:rsidRPr="006A2955" w14:paraId="263E112B" w14:textId="77777777" w:rsidTr="00C3670E">
        <w:trPr>
          <w:trHeight w:val="288"/>
        </w:trPr>
        <w:tc>
          <w:tcPr>
            <w:tcW w:w="1754" w:type="dxa"/>
            <w:noWrap/>
            <w:hideMark/>
          </w:tcPr>
          <w:p w14:paraId="2D817EB1" w14:textId="77777777" w:rsidR="00C3670E" w:rsidRPr="006A2955" w:rsidRDefault="00C3670E" w:rsidP="00A469AA">
            <w:pPr>
              <w:rPr>
                <w:rFonts w:ascii="Verdana" w:hAnsi="Verdana"/>
              </w:rPr>
            </w:pPr>
            <w:r w:rsidRPr="006A2955">
              <w:rPr>
                <w:rFonts w:ascii="Verdana" w:hAnsi="Verdana"/>
              </w:rPr>
              <w:t>Arrest Month</w:t>
            </w:r>
          </w:p>
        </w:tc>
        <w:tc>
          <w:tcPr>
            <w:tcW w:w="7596" w:type="dxa"/>
            <w:gridSpan w:val="2"/>
            <w:noWrap/>
            <w:hideMark/>
          </w:tcPr>
          <w:p w14:paraId="5BE61EF2" w14:textId="77777777" w:rsidR="00C3670E" w:rsidRPr="006A2955" w:rsidRDefault="00C3670E" w:rsidP="00A469AA">
            <w:pPr>
              <w:rPr>
                <w:rFonts w:ascii="Verdana" w:hAnsi="Verdana"/>
              </w:rPr>
            </w:pPr>
            <w:r w:rsidRPr="006A2955">
              <w:rPr>
                <w:rFonts w:ascii="Verdana" w:hAnsi="Verdana"/>
              </w:rPr>
              <w:t>Month of arrest</w:t>
            </w:r>
          </w:p>
        </w:tc>
      </w:tr>
      <w:tr w:rsidR="006A2955" w:rsidRPr="006A2955" w14:paraId="7AC12AA9" w14:textId="77777777" w:rsidTr="00C3670E">
        <w:trPr>
          <w:trHeight w:val="288"/>
        </w:trPr>
        <w:tc>
          <w:tcPr>
            <w:tcW w:w="1754" w:type="dxa"/>
            <w:noWrap/>
            <w:hideMark/>
          </w:tcPr>
          <w:p w14:paraId="36255DA3" w14:textId="77777777" w:rsidR="006A2955" w:rsidRPr="006A2955" w:rsidRDefault="006A2955" w:rsidP="00A469AA">
            <w:pPr>
              <w:rPr>
                <w:rFonts w:ascii="Verdana" w:hAnsi="Verdana"/>
              </w:rPr>
            </w:pPr>
            <w:r w:rsidRPr="006A2955">
              <w:rPr>
                <w:rFonts w:ascii="Verdana" w:hAnsi="Verdana"/>
              </w:rPr>
              <w:t>Race</w:t>
            </w:r>
          </w:p>
        </w:tc>
        <w:tc>
          <w:tcPr>
            <w:tcW w:w="7596" w:type="dxa"/>
            <w:gridSpan w:val="2"/>
            <w:noWrap/>
            <w:hideMark/>
          </w:tcPr>
          <w:p w14:paraId="528606D6" w14:textId="77777777" w:rsidR="006A2955" w:rsidRPr="006A2955" w:rsidRDefault="006A2955" w:rsidP="00A469AA">
            <w:pPr>
              <w:rPr>
                <w:rFonts w:ascii="Verdana" w:hAnsi="Verdana"/>
              </w:rPr>
            </w:pPr>
            <w:r w:rsidRPr="006A2955">
              <w:rPr>
                <w:rFonts w:ascii="Verdana" w:hAnsi="Verdana"/>
              </w:rPr>
              <w:t>Reflects information recorded at the time of initial arrest</w:t>
            </w:r>
            <w:r w:rsidR="00D12398">
              <w:rPr>
                <w:rFonts w:ascii="Verdana" w:hAnsi="Verdana"/>
              </w:rPr>
              <w:t xml:space="preserve"> (see below for note on ethnicity)</w:t>
            </w:r>
          </w:p>
        </w:tc>
      </w:tr>
      <w:tr w:rsidR="006A2955" w:rsidRPr="006A2955" w14:paraId="19BB517C" w14:textId="77777777" w:rsidTr="00C3670E">
        <w:trPr>
          <w:trHeight w:val="288"/>
        </w:trPr>
        <w:tc>
          <w:tcPr>
            <w:tcW w:w="1754" w:type="dxa"/>
            <w:noWrap/>
            <w:hideMark/>
          </w:tcPr>
          <w:p w14:paraId="5F8E9D50" w14:textId="77777777" w:rsidR="006A2955" w:rsidRPr="006A2955" w:rsidRDefault="006A2955" w:rsidP="00A469AA">
            <w:pPr>
              <w:rPr>
                <w:rFonts w:ascii="Verdana" w:hAnsi="Verdana"/>
              </w:rPr>
            </w:pPr>
            <w:r w:rsidRPr="006A2955">
              <w:rPr>
                <w:rFonts w:ascii="Verdana" w:hAnsi="Verdana"/>
              </w:rPr>
              <w:t>Age Range</w:t>
            </w:r>
          </w:p>
        </w:tc>
        <w:tc>
          <w:tcPr>
            <w:tcW w:w="7596" w:type="dxa"/>
            <w:gridSpan w:val="2"/>
            <w:noWrap/>
            <w:hideMark/>
          </w:tcPr>
          <w:p w14:paraId="7D35F314" w14:textId="77777777" w:rsidR="006A2955" w:rsidRPr="006A2955" w:rsidRDefault="006A2955" w:rsidP="00A469AA">
            <w:pPr>
              <w:rPr>
                <w:rFonts w:ascii="Verdana" w:hAnsi="Verdana"/>
              </w:rPr>
            </w:pPr>
            <w:r w:rsidRPr="006A2955">
              <w:rPr>
                <w:rFonts w:ascii="Verdana" w:hAnsi="Verdana"/>
              </w:rPr>
              <w:t>Age at the time of arrest</w:t>
            </w:r>
          </w:p>
        </w:tc>
      </w:tr>
      <w:tr w:rsidR="006A2955" w:rsidRPr="006A2955" w14:paraId="1C2A3D89" w14:textId="77777777" w:rsidTr="00C3670E">
        <w:trPr>
          <w:trHeight w:val="288"/>
        </w:trPr>
        <w:tc>
          <w:tcPr>
            <w:tcW w:w="1754" w:type="dxa"/>
            <w:noWrap/>
            <w:hideMark/>
          </w:tcPr>
          <w:p w14:paraId="4231C868" w14:textId="77777777" w:rsidR="006A2955" w:rsidRPr="006A2955" w:rsidRDefault="006A2955" w:rsidP="00A469AA">
            <w:pPr>
              <w:rPr>
                <w:rFonts w:ascii="Verdana" w:hAnsi="Verdana"/>
              </w:rPr>
            </w:pPr>
            <w:r w:rsidRPr="006A2955">
              <w:rPr>
                <w:rFonts w:ascii="Verdana" w:hAnsi="Verdana"/>
              </w:rPr>
              <w:t>Gender</w:t>
            </w:r>
          </w:p>
        </w:tc>
        <w:tc>
          <w:tcPr>
            <w:tcW w:w="7596" w:type="dxa"/>
            <w:gridSpan w:val="2"/>
            <w:noWrap/>
            <w:hideMark/>
          </w:tcPr>
          <w:p w14:paraId="0AE206C4" w14:textId="77777777" w:rsidR="006A2955" w:rsidRPr="006A2955" w:rsidRDefault="006A2955" w:rsidP="00A469AA">
            <w:pPr>
              <w:rPr>
                <w:rFonts w:ascii="Verdana" w:hAnsi="Verdana"/>
              </w:rPr>
            </w:pPr>
            <w:r w:rsidRPr="006A2955">
              <w:rPr>
                <w:rFonts w:ascii="Verdana" w:hAnsi="Verdana"/>
              </w:rPr>
              <w:t>Reflects information recorded at the time of initial arrest</w:t>
            </w:r>
          </w:p>
        </w:tc>
      </w:tr>
      <w:tr w:rsidR="006A2955" w:rsidRPr="006A2955" w14:paraId="526D467B" w14:textId="77777777" w:rsidTr="00C3670E">
        <w:trPr>
          <w:trHeight w:val="288"/>
        </w:trPr>
        <w:tc>
          <w:tcPr>
            <w:tcW w:w="1754" w:type="dxa"/>
            <w:noWrap/>
            <w:hideMark/>
          </w:tcPr>
          <w:p w14:paraId="1B876A51" w14:textId="77777777" w:rsidR="006A2955" w:rsidRPr="006A2955" w:rsidRDefault="006A2955" w:rsidP="00A469AA">
            <w:pPr>
              <w:rPr>
                <w:rFonts w:ascii="Verdana" w:hAnsi="Verdana"/>
              </w:rPr>
            </w:pPr>
            <w:r w:rsidRPr="006A2955">
              <w:rPr>
                <w:rFonts w:ascii="Verdana" w:hAnsi="Verdana"/>
              </w:rPr>
              <w:t>Offense Statute</w:t>
            </w:r>
          </w:p>
        </w:tc>
        <w:tc>
          <w:tcPr>
            <w:tcW w:w="7596" w:type="dxa"/>
            <w:gridSpan w:val="2"/>
            <w:noWrap/>
            <w:hideMark/>
          </w:tcPr>
          <w:p w14:paraId="35066C16" w14:textId="77777777" w:rsidR="006A2955" w:rsidRPr="006A2955" w:rsidRDefault="008F6B70" w:rsidP="00A469AA">
            <w:pPr>
              <w:rPr>
                <w:rFonts w:ascii="Verdana" w:hAnsi="Verdana"/>
              </w:rPr>
            </w:pPr>
            <w:r>
              <w:rPr>
                <w:rFonts w:ascii="Verdana" w:hAnsi="Verdana"/>
              </w:rPr>
              <w:t>The charges listed for each defendant</w:t>
            </w:r>
          </w:p>
        </w:tc>
      </w:tr>
      <w:tr w:rsidR="006A2955" w:rsidRPr="006A2955" w14:paraId="517F32C0" w14:textId="77777777" w:rsidTr="00C3670E">
        <w:trPr>
          <w:trHeight w:val="288"/>
        </w:trPr>
        <w:tc>
          <w:tcPr>
            <w:tcW w:w="1754" w:type="dxa"/>
            <w:noWrap/>
            <w:hideMark/>
          </w:tcPr>
          <w:p w14:paraId="4535C941" w14:textId="77777777" w:rsidR="006A2955" w:rsidRPr="006A2955" w:rsidRDefault="006A2955" w:rsidP="00A469AA">
            <w:pPr>
              <w:rPr>
                <w:rFonts w:ascii="Verdana" w:hAnsi="Verdana"/>
              </w:rPr>
            </w:pPr>
            <w:r w:rsidRPr="006A2955">
              <w:rPr>
                <w:rFonts w:ascii="Verdana" w:hAnsi="Verdana"/>
              </w:rPr>
              <w:lastRenderedPageBreak/>
              <w:t>Offense Category</w:t>
            </w:r>
          </w:p>
        </w:tc>
        <w:tc>
          <w:tcPr>
            <w:tcW w:w="7596" w:type="dxa"/>
            <w:gridSpan w:val="2"/>
            <w:noWrap/>
            <w:hideMark/>
          </w:tcPr>
          <w:p w14:paraId="3B76A405" w14:textId="77777777" w:rsidR="006A2955" w:rsidRPr="006A2955" w:rsidRDefault="008F6B70" w:rsidP="00A469AA">
            <w:pPr>
              <w:rPr>
                <w:rFonts w:ascii="Verdana" w:hAnsi="Verdana"/>
              </w:rPr>
            </w:pPr>
            <w:r>
              <w:rPr>
                <w:rFonts w:ascii="Verdana" w:hAnsi="Verdana"/>
              </w:rPr>
              <w:t>The charges listed for each defendant</w:t>
            </w:r>
          </w:p>
        </w:tc>
      </w:tr>
      <w:tr w:rsidR="00C3670E" w:rsidRPr="006A2955" w14:paraId="604061F2" w14:textId="77777777" w:rsidTr="00C3670E">
        <w:trPr>
          <w:trHeight w:val="288"/>
        </w:trPr>
        <w:tc>
          <w:tcPr>
            <w:tcW w:w="1754" w:type="dxa"/>
            <w:noWrap/>
            <w:hideMark/>
          </w:tcPr>
          <w:p w14:paraId="17CACEE9" w14:textId="77777777" w:rsidR="006A2955" w:rsidRPr="006A2955" w:rsidRDefault="006A2955" w:rsidP="00A469AA">
            <w:pPr>
              <w:rPr>
                <w:rFonts w:ascii="Verdana" w:hAnsi="Verdana"/>
              </w:rPr>
            </w:pPr>
            <w:r w:rsidRPr="006A2955">
              <w:rPr>
                <w:rFonts w:ascii="Verdana" w:hAnsi="Verdana"/>
              </w:rPr>
              <w:t>Arrest source</w:t>
            </w:r>
          </w:p>
        </w:tc>
        <w:tc>
          <w:tcPr>
            <w:tcW w:w="1481" w:type="dxa"/>
            <w:noWrap/>
            <w:hideMark/>
          </w:tcPr>
          <w:p w14:paraId="5A708E58" w14:textId="77777777" w:rsidR="006A2955" w:rsidRPr="006A2955" w:rsidRDefault="006A2955" w:rsidP="00A469AA">
            <w:pPr>
              <w:rPr>
                <w:rFonts w:ascii="Verdana" w:hAnsi="Verdana"/>
              </w:rPr>
            </w:pPr>
            <w:r w:rsidRPr="006A2955">
              <w:rPr>
                <w:rFonts w:ascii="Verdana" w:hAnsi="Verdana"/>
              </w:rPr>
              <w:t>Summons</w:t>
            </w:r>
          </w:p>
        </w:tc>
        <w:tc>
          <w:tcPr>
            <w:tcW w:w="6115" w:type="dxa"/>
            <w:noWrap/>
            <w:hideMark/>
          </w:tcPr>
          <w:p w14:paraId="2B11ADAC" w14:textId="77777777" w:rsidR="006A2955" w:rsidRPr="006A2955" w:rsidRDefault="006A2955" w:rsidP="00A469AA">
            <w:pPr>
              <w:rPr>
                <w:rFonts w:ascii="Verdana" w:hAnsi="Verdana"/>
              </w:rPr>
            </w:pPr>
            <w:r w:rsidRPr="006A2955">
              <w:rPr>
                <w:rFonts w:ascii="Verdana" w:hAnsi="Verdana"/>
              </w:rPr>
              <w:t>A Complaint-Summons gives notice to a defendant that they have been charged with an offense and the requirement that they appear in court at a specified time and place. A Complaint-Summons is issued for most criminal charges in New Jersey.</w:t>
            </w:r>
          </w:p>
        </w:tc>
      </w:tr>
      <w:tr w:rsidR="00C3670E" w:rsidRPr="006A2955" w14:paraId="2DA14556" w14:textId="77777777" w:rsidTr="00C3670E">
        <w:trPr>
          <w:trHeight w:val="288"/>
        </w:trPr>
        <w:tc>
          <w:tcPr>
            <w:tcW w:w="1754" w:type="dxa"/>
            <w:noWrap/>
            <w:hideMark/>
          </w:tcPr>
          <w:p w14:paraId="20FA5F2D" w14:textId="77777777" w:rsidR="006A2955" w:rsidRPr="006A2955" w:rsidRDefault="006A2955" w:rsidP="00A469AA">
            <w:pPr>
              <w:rPr>
                <w:rFonts w:ascii="Verdana" w:hAnsi="Verdana"/>
              </w:rPr>
            </w:pPr>
            <w:r w:rsidRPr="006A2955">
              <w:rPr>
                <w:rFonts w:ascii="Verdana" w:hAnsi="Verdana"/>
              </w:rPr>
              <w:t>Arrest source</w:t>
            </w:r>
          </w:p>
        </w:tc>
        <w:tc>
          <w:tcPr>
            <w:tcW w:w="1481" w:type="dxa"/>
            <w:noWrap/>
            <w:hideMark/>
          </w:tcPr>
          <w:p w14:paraId="40220828" w14:textId="77777777" w:rsidR="006A2955" w:rsidRPr="006A2955" w:rsidRDefault="006A2955" w:rsidP="00A469AA">
            <w:pPr>
              <w:rPr>
                <w:rFonts w:ascii="Verdana" w:hAnsi="Verdana"/>
              </w:rPr>
            </w:pPr>
            <w:r w:rsidRPr="006A2955">
              <w:rPr>
                <w:rFonts w:ascii="Verdana" w:hAnsi="Verdana"/>
              </w:rPr>
              <w:t>Warrant</w:t>
            </w:r>
          </w:p>
        </w:tc>
        <w:tc>
          <w:tcPr>
            <w:tcW w:w="6115" w:type="dxa"/>
            <w:noWrap/>
            <w:hideMark/>
          </w:tcPr>
          <w:p w14:paraId="749FB2F5" w14:textId="77777777" w:rsidR="006A2955" w:rsidRPr="006A2955" w:rsidRDefault="006A2955" w:rsidP="00A469AA">
            <w:pPr>
              <w:rPr>
                <w:rFonts w:ascii="Verdana" w:hAnsi="Verdana"/>
              </w:rPr>
            </w:pPr>
            <w:r w:rsidRPr="006A2955">
              <w:rPr>
                <w:rFonts w:ascii="Verdana" w:hAnsi="Verdana"/>
              </w:rPr>
              <w:t>A Complaint-Warrant is issued for more serious criminal charges and violations of prior court orders. Once signed by a judge, a Complaint-Warrant provides law enforcement the legal permission to detain a person.</w:t>
            </w:r>
          </w:p>
        </w:tc>
      </w:tr>
      <w:tr w:rsidR="00C3670E" w:rsidRPr="006A2955" w14:paraId="69E458E7" w14:textId="77777777" w:rsidTr="00C3670E">
        <w:trPr>
          <w:trHeight w:val="288"/>
        </w:trPr>
        <w:tc>
          <w:tcPr>
            <w:tcW w:w="1754" w:type="dxa"/>
            <w:noWrap/>
            <w:hideMark/>
          </w:tcPr>
          <w:p w14:paraId="1EEDB01D" w14:textId="77777777" w:rsidR="006A2955" w:rsidRPr="006A2955" w:rsidRDefault="006A2955" w:rsidP="00A469AA">
            <w:pPr>
              <w:rPr>
                <w:rFonts w:ascii="Verdana" w:hAnsi="Verdana"/>
              </w:rPr>
            </w:pPr>
            <w:r w:rsidRPr="006A2955">
              <w:rPr>
                <w:rFonts w:ascii="Verdana" w:hAnsi="Verdana"/>
              </w:rPr>
              <w:t>Arrest source</w:t>
            </w:r>
          </w:p>
        </w:tc>
        <w:tc>
          <w:tcPr>
            <w:tcW w:w="1481" w:type="dxa"/>
            <w:noWrap/>
            <w:hideMark/>
          </w:tcPr>
          <w:p w14:paraId="1F8A0109" w14:textId="77777777" w:rsidR="006A2955" w:rsidRPr="006A2955" w:rsidRDefault="006A2955" w:rsidP="00A469AA">
            <w:pPr>
              <w:rPr>
                <w:rFonts w:ascii="Verdana" w:hAnsi="Verdana"/>
              </w:rPr>
            </w:pPr>
            <w:r w:rsidRPr="006A2955">
              <w:rPr>
                <w:rFonts w:ascii="Verdana" w:hAnsi="Verdana"/>
              </w:rPr>
              <w:t>Other</w:t>
            </w:r>
          </w:p>
        </w:tc>
        <w:tc>
          <w:tcPr>
            <w:tcW w:w="6115" w:type="dxa"/>
            <w:noWrap/>
            <w:hideMark/>
          </w:tcPr>
          <w:p w14:paraId="0C56681A" w14:textId="5468D9E9" w:rsidR="006A2955" w:rsidRPr="006A2955" w:rsidRDefault="006A2955" w:rsidP="00A469AA">
            <w:pPr>
              <w:rPr>
                <w:rFonts w:ascii="Verdana" w:hAnsi="Verdana"/>
              </w:rPr>
            </w:pPr>
            <w:r w:rsidRPr="006A2955">
              <w:rPr>
                <w:rFonts w:ascii="Verdana" w:hAnsi="Verdana"/>
              </w:rPr>
              <w:t xml:space="preserve">Instances where the information available about the charging document does not readily identify it as a complaint-summons or complaint-warrant will be identified manually over time. </w:t>
            </w:r>
          </w:p>
        </w:tc>
      </w:tr>
      <w:tr w:rsidR="00C3670E" w:rsidRPr="006A2955" w14:paraId="65121EA0" w14:textId="77777777" w:rsidTr="00C3670E">
        <w:trPr>
          <w:trHeight w:val="288"/>
        </w:trPr>
        <w:tc>
          <w:tcPr>
            <w:tcW w:w="1754" w:type="dxa"/>
            <w:noWrap/>
            <w:hideMark/>
          </w:tcPr>
          <w:p w14:paraId="78337D3E" w14:textId="77777777" w:rsidR="006A2955" w:rsidRPr="006A2955" w:rsidRDefault="006A2955" w:rsidP="00A469AA">
            <w:pPr>
              <w:rPr>
                <w:rFonts w:ascii="Verdana" w:hAnsi="Verdana"/>
              </w:rPr>
            </w:pPr>
            <w:r w:rsidRPr="006A2955">
              <w:rPr>
                <w:rFonts w:ascii="Verdana" w:hAnsi="Verdana"/>
              </w:rPr>
              <w:t>Status</w:t>
            </w:r>
          </w:p>
        </w:tc>
        <w:tc>
          <w:tcPr>
            <w:tcW w:w="1481" w:type="dxa"/>
            <w:noWrap/>
            <w:hideMark/>
          </w:tcPr>
          <w:p w14:paraId="6A589FDE" w14:textId="77777777" w:rsidR="006A2955" w:rsidRPr="006A2955" w:rsidRDefault="006A2955" w:rsidP="00A469AA">
            <w:pPr>
              <w:rPr>
                <w:rFonts w:ascii="Verdana" w:hAnsi="Verdana"/>
              </w:rPr>
            </w:pPr>
            <w:r w:rsidRPr="006A2955">
              <w:rPr>
                <w:rFonts w:ascii="Verdana" w:hAnsi="Verdana"/>
              </w:rPr>
              <w:t>Guilty</w:t>
            </w:r>
          </w:p>
        </w:tc>
        <w:tc>
          <w:tcPr>
            <w:tcW w:w="6115" w:type="dxa"/>
            <w:noWrap/>
            <w:hideMark/>
          </w:tcPr>
          <w:p w14:paraId="64F9FAA9" w14:textId="77777777" w:rsidR="006A2955" w:rsidRPr="006A2955" w:rsidRDefault="006A2955" w:rsidP="00A469AA">
            <w:pPr>
              <w:rPr>
                <w:rFonts w:ascii="Verdana" w:hAnsi="Verdana"/>
              </w:rPr>
            </w:pPr>
            <w:r w:rsidRPr="006A2955">
              <w:rPr>
                <w:rFonts w:ascii="Verdana" w:hAnsi="Verdana"/>
              </w:rPr>
              <w:t>A guilty outcome can be the result of a guilty plea or a guilty verdict. A Guilty Plea occurs when a criminal defendant does not contest the charge. A Guilty Verdict occurs when a jury has deliberated and voted to convict the defendant of the crime charged at the conclusion of a trial.</w:t>
            </w:r>
          </w:p>
        </w:tc>
      </w:tr>
      <w:tr w:rsidR="00C3670E" w:rsidRPr="006A2955" w14:paraId="6077694B" w14:textId="77777777" w:rsidTr="00C3670E">
        <w:trPr>
          <w:trHeight w:val="288"/>
        </w:trPr>
        <w:tc>
          <w:tcPr>
            <w:tcW w:w="1754" w:type="dxa"/>
            <w:noWrap/>
            <w:hideMark/>
          </w:tcPr>
          <w:p w14:paraId="032DDC49" w14:textId="77777777" w:rsidR="006A2955" w:rsidRPr="006A2955" w:rsidRDefault="006A2955" w:rsidP="00A469AA">
            <w:pPr>
              <w:rPr>
                <w:rFonts w:ascii="Verdana" w:hAnsi="Verdana"/>
              </w:rPr>
            </w:pPr>
            <w:r w:rsidRPr="006A2955">
              <w:rPr>
                <w:rFonts w:ascii="Verdana" w:hAnsi="Verdana"/>
              </w:rPr>
              <w:t>Status</w:t>
            </w:r>
          </w:p>
        </w:tc>
        <w:tc>
          <w:tcPr>
            <w:tcW w:w="1481" w:type="dxa"/>
            <w:noWrap/>
            <w:hideMark/>
          </w:tcPr>
          <w:p w14:paraId="11688F2D" w14:textId="77777777" w:rsidR="006A2955" w:rsidRPr="006A2955" w:rsidRDefault="006A2955" w:rsidP="00A469AA">
            <w:pPr>
              <w:rPr>
                <w:rFonts w:ascii="Verdana" w:hAnsi="Verdana"/>
              </w:rPr>
            </w:pPr>
            <w:r w:rsidRPr="006A2955">
              <w:rPr>
                <w:rFonts w:ascii="Verdana" w:hAnsi="Verdana"/>
              </w:rPr>
              <w:t>Municipal Court</w:t>
            </w:r>
          </w:p>
        </w:tc>
        <w:tc>
          <w:tcPr>
            <w:tcW w:w="6115" w:type="dxa"/>
            <w:noWrap/>
            <w:hideMark/>
          </w:tcPr>
          <w:p w14:paraId="73495CBB" w14:textId="77777777" w:rsidR="006A2955" w:rsidRPr="006A2955" w:rsidRDefault="006A2955" w:rsidP="00A469AA">
            <w:pPr>
              <w:rPr>
                <w:rFonts w:ascii="Verdana" w:hAnsi="Verdana"/>
              </w:rPr>
            </w:pPr>
            <w:r w:rsidRPr="006A2955">
              <w:rPr>
                <w:rFonts w:ascii="Verdana" w:hAnsi="Verdana"/>
              </w:rPr>
              <w:t>An outcome labeled Municipal Court represents a charge sent to municipal court for resolution. Municipal courts are courts of limited jurisdiction, having responsibility for offenses such as motor vehicle and parking tickets, minor criminal offenses, and municipal ordinance violations.</w:t>
            </w:r>
          </w:p>
        </w:tc>
      </w:tr>
      <w:tr w:rsidR="00C3670E" w:rsidRPr="006A2955" w14:paraId="03CD9CF0" w14:textId="77777777" w:rsidTr="00C3670E">
        <w:trPr>
          <w:trHeight w:val="288"/>
        </w:trPr>
        <w:tc>
          <w:tcPr>
            <w:tcW w:w="1754" w:type="dxa"/>
            <w:noWrap/>
            <w:hideMark/>
          </w:tcPr>
          <w:p w14:paraId="600F49B8" w14:textId="77777777" w:rsidR="006A2955" w:rsidRPr="006A2955" w:rsidRDefault="006A2955" w:rsidP="00A469AA">
            <w:pPr>
              <w:rPr>
                <w:rFonts w:ascii="Verdana" w:hAnsi="Verdana"/>
              </w:rPr>
            </w:pPr>
            <w:r w:rsidRPr="006A2955">
              <w:rPr>
                <w:rFonts w:ascii="Verdana" w:hAnsi="Verdana"/>
              </w:rPr>
              <w:t>Status</w:t>
            </w:r>
          </w:p>
        </w:tc>
        <w:tc>
          <w:tcPr>
            <w:tcW w:w="1481" w:type="dxa"/>
            <w:noWrap/>
            <w:hideMark/>
          </w:tcPr>
          <w:p w14:paraId="458C1220" w14:textId="77777777" w:rsidR="006A2955" w:rsidRPr="006A2955" w:rsidRDefault="006A2955" w:rsidP="00A469AA">
            <w:pPr>
              <w:rPr>
                <w:rFonts w:ascii="Verdana" w:hAnsi="Verdana"/>
              </w:rPr>
            </w:pPr>
            <w:r w:rsidRPr="006A2955">
              <w:rPr>
                <w:rFonts w:ascii="Verdana" w:hAnsi="Verdana"/>
              </w:rPr>
              <w:t>Not Guilty</w:t>
            </w:r>
          </w:p>
        </w:tc>
        <w:tc>
          <w:tcPr>
            <w:tcW w:w="6115" w:type="dxa"/>
            <w:noWrap/>
            <w:hideMark/>
          </w:tcPr>
          <w:p w14:paraId="29A04040" w14:textId="77777777" w:rsidR="006A2955" w:rsidRPr="006A2955" w:rsidRDefault="006A2955" w:rsidP="00A469AA">
            <w:pPr>
              <w:rPr>
                <w:rFonts w:ascii="Verdana" w:hAnsi="Verdana"/>
              </w:rPr>
            </w:pPr>
            <w:r w:rsidRPr="006A2955">
              <w:rPr>
                <w:rFonts w:ascii="Verdana" w:hAnsi="Verdana"/>
              </w:rPr>
              <w:t>A not guilty outcome occurs when a jury has deliberated and voted not to convict the defendant of the crime charged at the conclusion of a trial.</w:t>
            </w:r>
          </w:p>
        </w:tc>
      </w:tr>
      <w:tr w:rsidR="00C3670E" w:rsidRPr="006A2955" w14:paraId="5CDFEC38" w14:textId="77777777" w:rsidTr="00C3670E">
        <w:trPr>
          <w:trHeight w:val="288"/>
        </w:trPr>
        <w:tc>
          <w:tcPr>
            <w:tcW w:w="1754" w:type="dxa"/>
            <w:noWrap/>
            <w:hideMark/>
          </w:tcPr>
          <w:p w14:paraId="020A53D2" w14:textId="77777777" w:rsidR="006A2955" w:rsidRPr="006A2955" w:rsidRDefault="006A2955" w:rsidP="00A469AA">
            <w:pPr>
              <w:rPr>
                <w:rFonts w:ascii="Verdana" w:hAnsi="Verdana"/>
              </w:rPr>
            </w:pPr>
            <w:r w:rsidRPr="006A2955">
              <w:rPr>
                <w:rFonts w:ascii="Verdana" w:hAnsi="Verdana"/>
              </w:rPr>
              <w:t>Status</w:t>
            </w:r>
          </w:p>
        </w:tc>
        <w:tc>
          <w:tcPr>
            <w:tcW w:w="1481" w:type="dxa"/>
            <w:noWrap/>
            <w:hideMark/>
          </w:tcPr>
          <w:p w14:paraId="613E4E58" w14:textId="77777777" w:rsidR="006A2955" w:rsidRPr="006A2955" w:rsidRDefault="006A2955" w:rsidP="00A469AA">
            <w:pPr>
              <w:rPr>
                <w:rFonts w:ascii="Verdana" w:hAnsi="Verdana"/>
              </w:rPr>
            </w:pPr>
            <w:r w:rsidRPr="006A2955">
              <w:rPr>
                <w:rFonts w:ascii="Verdana" w:hAnsi="Verdana"/>
              </w:rPr>
              <w:t>Pending</w:t>
            </w:r>
          </w:p>
        </w:tc>
        <w:tc>
          <w:tcPr>
            <w:tcW w:w="6115" w:type="dxa"/>
            <w:noWrap/>
            <w:hideMark/>
          </w:tcPr>
          <w:p w14:paraId="2E506282" w14:textId="77777777" w:rsidR="006A2955" w:rsidRPr="006A2955" w:rsidRDefault="006A2955" w:rsidP="00A469AA">
            <w:pPr>
              <w:rPr>
                <w:rFonts w:ascii="Verdana" w:hAnsi="Verdana"/>
              </w:rPr>
            </w:pPr>
            <w:r w:rsidRPr="006A2955">
              <w:rPr>
                <w:rFonts w:ascii="Verdana" w:hAnsi="Verdana"/>
              </w:rPr>
              <w:t>A pending case is one in which a final judgement has not been entered.</w:t>
            </w:r>
          </w:p>
        </w:tc>
      </w:tr>
      <w:tr w:rsidR="00C3670E" w:rsidRPr="006A2955" w14:paraId="13165A8F" w14:textId="77777777" w:rsidTr="00C3670E">
        <w:trPr>
          <w:trHeight w:val="288"/>
        </w:trPr>
        <w:tc>
          <w:tcPr>
            <w:tcW w:w="1754" w:type="dxa"/>
            <w:noWrap/>
            <w:hideMark/>
          </w:tcPr>
          <w:p w14:paraId="1575F5C4" w14:textId="77777777" w:rsidR="006A2955" w:rsidRPr="006A2955" w:rsidRDefault="006A2955" w:rsidP="00A469AA">
            <w:pPr>
              <w:rPr>
                <w:rFonts w:ascii="Verdana" w:hAnsi="Verdana"/>
              </w:rPr>
            </w:pPr>
            <w:r w:rsidRPr="006A2955">
              <w:rPr>
                <w:rFonts w:ascii="Verdana" w:hAnsi="Verdana"/>
              </w:rPr>
              <w:t>Status</w:t>
            </w:r>
          </w:p>
        </w:tc>
        <w:tc>
          <w:tcPr>
            <w:tcW w:w="1481" w:type="dxa"/>
            <w:noWrap/>
            <w:hideMark/>
          </w:tcPr>
          <w:p w14:paraId="69621660" w14:textId="77777777" w:rsidR="006A2955" w:rsidRPr="006A2955" w:rsidRDefault="006A2955" w:rsidP="00A469AA">
            <w:pPr>
              <w:rPr>
                <w:rFonts w:ascii="Verdana" w:hAnsi="Verdana"/>
              </w:rPr>
            </w:pPr>
            <w:r w:rsidRPr="006A2955">
              <w:rPr>
                <w:rFonts w:ascii="Verdana" w:hAnsi="Verdana"/>
              </w:rPr>
              <w:t>Dismissal</w:t>
            </w:r>
          </w:p>
        </w:tc>
        <w:tc>
          <w:tcPr>
            <w:tcW w:w="6115" w:type="dxa"/>
            <w:noWrap/>
            <w:hideMark/>
          </w:tcPr>
          <w:p w14:paraId="73014739" w14:textId="77777777" w:rsidR="006A2955" w:rsidRPr="006A2955" w:rsidRDefault="006A2955" w:rsidP="00A469AA">
            <w:pPr>
              <w:rPr>
                <w:rFonts w:ascii="Verdana" w:hAnsi="Verdana"/>
              </w:rPr>
            </w:pPr>
            <w:r w:rsidRPr="006A2955">
              <w:rPr>
                <w:rFonts w:ascii="Verdana" w:hAnsi="Verdana"/>
              </w:rPr>
              <w:t>A dismissal is a resolution whereby a charge is removed from the case. An individual charge can be removed at any time for a variety of reasons.</w:t>
            </w:r>
          </w:p>
        </w:tc>
      </w:tr>
    </w:tbl>
    <w:p w14:paraId="5B9CD55F" w14:textId="77777777" w:rsidR="006A2955" w:rsidRDefault="006A2955" w:rsidP="00A469AA">
      <w:pPr>
        <w:spacing w:after="0"/>
        <w:rPr>
          <w:rFonts w:ascii="Verdana" w:hAnsi="Verdana"/>
        </w:rPr>
      </w:pPr>
    </w:p>
    <w:p w14:paraId="2AB28AE9" w14:textId="77777777" w:rsidR="006A2955" w:rsidRPr="000A19DD" w:rsidRDefault="006A2955" w:rsidP="00A469AA">
      <w:pPr>
        <w:spacing w:after="0"/>
        <w:rPr>
          <w:rFonts w:ascii="Verdana" w:hAnsi="Verdana"/>
        </w:rPr>
      </w:pPr>
    </w:p>
    <w:p w14:paraId="1E87C79E" w14:textId="77777777" w:rsidR="003D6558" w:rsidRDefault="003D6558" w:rsidP="00A469AA">
      <w:pPr>
        <w:pStyle w:val="Heading3"/>
        <w:spacing w:before="0"/>
        <w:rPr>
          <w:rFonts w:ascii="Verdana" w:hAnsi="Verdana"/>
          <w:color w:val="2E3591"/>
        </w:rPr>
      </w:pPr>
      <w:r w:rsidRPr="00A469AA">
        <w:rPr>
          <w:rFonts w:ascii="Verdana" w:hAnsi="Verdana"/>
          <w:color w:val="2E3591"/>
        </w:rPr>
        <w:t>Fines, Fees</w:t>
      </w:r>
      <w:r w:rsidR="00462DC8">
        <w:rPr>
          <w:rFonts w:ascii="Verdana" w:hAnsi="Verdana"/>
          <w:color w:val="2E3591"/>
        </w:rPr>
        <w:t>,</w:t>
      </w:r>
      <w:r w:rsidRPr="00A469AA">
        <w:rPr>
          <w:rFonts w:ascii="Verdana" w:hAnsi="Verdana"/>
          <w:color w:val="2E3591"/>
        </w:rPr>
        <w:t xml:space="preserve"> and Restitution</w:t>
      </w:r>
    </w:p>
    <w:p w14:paraId="5A01AA00" w14:textId="77777777" w:rsidR="008674E1" w:rsidRDefault="00462DC8" w:rsidP="00462DC8">
      <w:pPr>
        <w:rPr>
          <w:rFonts w:ascii="Verdana" w:hAnsi="Verdana"/>
        </w:rPr>
      </w:pPr>
      <w:r w:rsidRPr="00462DC8">
        <w:rPr>
          <w:rFonts w:ascii="Verdana" w:hAnsi="Verdana"/>
        </w:rPr>
        <w:t xml:space="preserve">Fines, fees, and restitution amounts are determined at sentencing. </w:t>
      </w:r>
      <w:r w:rsidR="008674E1">
        <w:rPr>
          <w:rFonts w:ascii="Verdana" w:hAnsi="Verdana"/>
        </w:rPr>
        <w:t xml:space="preserve">In New Jersey, individuals convicted of a crime may be subject to fines or fees, or restitution that is owed to the crime victim (or his relations). Fines and fees may be determined statutorily, or may be set by a judge at sentencing. </w:t>
      </w:r>
    </w:p>
    <w:p w14:paraId="0CE3A549" w14:textId="77777777" w:rsidR="008674E1" w:rsidRDefault="008674E1" w:rsidP="00462DC8">
      <w:pPr>
        <w:rPr>
          <w:rFonts w:ascii="Verdana" w:hAnsi="Verdana"/>
        </w:rPr>
      </w:pPr>
    </w:p>
    <w:p w14:paraId="1448887C" w14:textId="6D1492A9" w:rsidR="00462DC8" w:rsidRPr="00462DC8" w:rsidRDefault="00462DC8" w:rsidP="00462DC8">
      <w:pPr>
        <w:rPr>
          <w:rFonts w:ascii="Verdana" w:hAnsi="Verdana"/>
        </w:rPr>
      </w:pPr>
      <w:r>
        <w:rPr>
          <w:rFonts w:ascii="Verdana" w:hAnsi="Verdana"/>
        </w:rPr>
        <w:t>A</w:t>
      </w:r>
      <w:r w:rsidRPr="00462DC8">
        <w:rPr>
          <w:rFonts w:ascii="Verdana" w:hAnsi="Verdana"/>
        </w:rPr>
        <w:t xml:space="preserve"> defendant may have multiple arrest events or charges</w:t>
      </w:r>
      <w:r>
        <w:rPr>
          <w:rFonts w:ascii="Verdana" w:hAnsi="Verdana"/>
        </w:rPr>
        <w:t xml:space="preserve"> and </w:t>
      </w:r>
      <w:r w:rsidRPr="00462DC8">
        <w:rPr>
          <w:rFonts w:ascii="Verdana" w:hAnsi="Verdana"/>
        </w:rPr>
        <w:t xml:space="preserve">these events may be grouped in one sentencing date or handled separately. </w:t>
      </w:r>
      <w:bookmarkStart w:id="0" w:name="_GoBack"/>
      <w:bookmarkEnd w:id="0"/>
      <w:r w:rsidRPr="00462DC8">
        <w:rPr>
          <w:rFonts w:ascii="Verdana" w:hAnsi="Verdana"/>
        </w:rPr>
        <w:t xml:space="preserve">The data depicted </w:t>
      </w:r>
      <w:r w:rsidR="008674E1">
        <w:rPr>
          <w:rFonts w:ascii="Verdana" w:hAnsi="Verdana"/>
        </w:rPr>
        <w:t xml:space="preserve">in the </w:t>
      </w:r>
      <w:r w:rsidR="008674E1">
        <w:rPr>
          <w:rFonts w:ascii="Verdana" w:hAnsi="Verdana"/>
        </w:rPr>
        <w:lastRenderedPageBreak/>
        <w:t xml:space="preserve">Chapter 120 Dashboard and Download File </w:t>
      </w:r>
      <w:r w:rsidRPr="00462DC8">
        <w:rPr>
          <w:rFonts w:ascii="Verdana" w:hAnsi="Verdana"/>
        </w:rPr>
        <w:t xml:space="preserve">are grouped by internal case numbers for a specific defendant on a specific sentencing date. </w:t>
      </w:r>
      <w:r w:rsidR="008674E1">
        <w:rPr>
          <w:rFonts w:ascii="Verdana" w:hAnsi="Verdana"/>
        </w:rPr>
        <w:t xml:space="preserve">Therefore, a given sentence date for an individual may include fines, fees, and/or restitution stemming from the same or multiple arrests or charging events.  Additionally, </w:t>
      </w:r>
      <w:r w:rsidRPr="00462DC8">
        <w:rPr>
          <w:rFonts w:ascii="Verdana" w:hAnsi="Verdana"/>
        </w:rPr>
        <w:t xml:space="preserve">an individual defendant is re-sentenced, </w:t>
      </w:r>
      <w:r w:rsidR="008674E1">
        <w:rPr>
          <w:rFonts w:ascii="Verdana" w:hAnsi="Verdana"/>
        </w:rPr>
        <w:t xml:space="preserve">unpaid </w:t>
      </w:r>
      <w:r w:rsidRPr="00462DC8">
        <w:rPr>
          <w:rFonts w:ascii="Verdana" w:hAnsi="Verdana"/>
        </w:rPr>
        <w:t>fines</w:t>
      </w:r>
      <w:r w:rsidR="008674E1">
        <w:rPr>
          <w:rFonts w:ascii="Verdana" w:hAnsi="Verdana"/>
        </w:rPr>
        <w:t xml:space="preserve">, </w:t>
      </w:r>
      <w:r w:rsidRPr="00462DC8">
        <w:rPr>
          <w:rFonts w:ascii="Verdana" w:hAnsi="Verdana"/>
        </w:rPr>
        <w:t>fees</w:t>
      </w:r>
      <w:r w:rsidR="008674E1">
        <w:rPr>
          <w:rFonts w:ascii="Verdana" w:hAnsi="Verdana"/>
        </w:rPr>
        <w:t xml:space="preserve"> and/or </w:t>
      </w:r>
      <w:r w:rsidRPr="00462DC8">
        <w:rPr>
          <w:rFonts w:ascii="Verdana" w:hAnsi="Verdana"/>
        </w:rPr>
        <w:t xml:space="preserve">restitution are copied from </w:t>
      </w:r>
      <w:r w:rsidR="008674E1">
        <w:rPr>
          <w:rFonts w:ascii="Verdana" w:hAnsi="Verdana"/>
        </w:rPr>
        <w:t xml:space="preserve">a </w:t>
      </w:r>
      <w:r w:rsidRPr="00462DC8">
        <w:rPr>
          <w:rFonts w:ascii="Verdana" w:hAnsi="Verdana"/>
        </w:rPr>
        <w:t xml:space="preserve">previous sentence </w:t>
      </w:r>
      <w:r w:rsidR="008674E1">
        <w:rPr>
          <w:rFonts w:ascii="Verdana" w:hAnsi="Verdana"/>
        </w:rPr>
        <w:t xml:space="preserve">or sentences </w:t>
      </w:r>
      <w:r w:rsidRPr="00462DC8">
        <w:rPr>
          <w:rFonts w:ascii="Verdana" w:hAnsi="Verdana"/>
        </w:rPr>
        <w:t>and any new financial amounts are added. Thus, the information displayed within this file includes the fines/fees/restitution for the latest sentencing date within a specific court case</w:t>
      </w:r>
      <w:r w:rsidR="008674E1">
        <w:rPr>
          <w:rFonts w:ascii="Verdana" w:hAnsi="Verdana"/>
        </w:rPr>
        <w:t>, but that information may be inclusive of amounts that were listed in previous sentencing dates, and may include fines, fees, and/or restitution linked to multiple arrests or charging events</w:t>
      </w:r>
      <w:r w:rsidRPr="00462DC8">
        <w:rPr>
          <w:rFonts w:ascii="Verdana" w:hAnsi="Verdana"/>
        </w:rPr>
        <w:t>.</w:t>
      </w:r>
    </w:p>
    <w:tbl>
      <w:tblPr>
        <w:tblStyle w:val="TableGrid"/>
        <w:tblW w:w="0" w:type="auto"/>
        <w:tblLook w:val="04A0" w:firstRow="1" w:lastRow="0" w:firstColumn="1" w:lastColumn="0" w:noHBand="0" w:noVBand="1"/>
      </w:tblPr>
      <w:tblGrid>
        <w:gridCol w:w="1756"/>
        <w:gridCol w:w="7594"/>
      </w:tblGrid>
      <w:tr w:rsidR="00A469AA" w:rsidRPr="00A469AA" w14:paraId="0B640AB9" w14:textId="77777777" w:rsidTr="004D361B">
        <w:trPr>
          <w:trHeight w:val="288"/>
        </w:trPr>
        <w:tc>
          <w:tcPr>
            <w:tcW w:w="1754" w:type="dxa"/>
            <w:noWrap/>
            <w:hideMark/>
          </w:tcPr>
          <w:p w14:paraId="3DA8C1E8" w14:textId="77777777" w:rsidR="00A469AA" w:rsidRPr="00A469AA" w:rsidRDefault="00A469AA" w:rsidP="00A469AA">
            <w:pPr>
              <w:rPr>
                <w:rFonts w:ascii="Verdana" w:hAnsi="Verdana"/>
                <w:b/>
              </w:rPr>
            </w:pPr>
            <w:r w:rsidRPr="00A469AA">
              <w:rPr>
                <w:rFonts w:ascii="Verdana" w:hAnsi="Verdana"/>
                <w:b/>
              </w:rPr>
              <w:t>Field Name</w:t>
            </w:r>
          </w:p>
        </w:tc>
        <w:tc>
          <w:tcPr>
            <w:tcW w:w="7596" w:type="dxa"/>
            <w:noWrap/>
            <w:hideMark/>
          </w:tcPr>
          <w:p w14:paraId="0E23B85A" w14:textId="77777777" w:rsidR="00A469AA" w:rsidRPr="00A469AA" w:rsidRDefault="00A469AA" w:rsidP="00A469AA">
            <w:pPr>
              <w:rPr>
                <w:rFonts w:ascii="Verdana" w:hAnsi="Verdana"/>
                <w:b/>
              </w:rPr>
            </w:pPr>
            <w:r w:rsidRPr="00A469AA">
              <w:rPr>
                <w:rFonts w:ascii="Verdana" w:hAnsi="Verdana"/>
                <w:b/>
              </w:rPr>
              <w:t>Description</w:t>
            </w:r>
          </w:p>
        </w:tc>
      </w:tr>
      <w:tr w:rsidR="00F10E47" w:rsidRPr="00A469AA" w14:paraId="71EA6B5A" w14:textId="77777777" w:rsidTr="004D361B">
        <w:trPr>
          <w:trHeight w:val="288"/>
        </w:trPr>
        <w:tc>
          <w:tcPr>
            <w:tcW w:w="1754" w:type="dxa"/>
            <w:noWrap/>
          </w:tcPr>
          <w:p w14:paraId="17FC0D43" w14:textId="77777777" w:rsidR="00F10E47" w:rsidRPr="006A2955" w:rsidRDefault="00F10E47" w:rsidP="00F10E47">
            <w:pPr>
              <w:rPr>
                <w:rFonts w:ascii="Verdana" w:hAnsi="Verdana"/>
              </w:rPr>
            </w:pPr>
            <w:r w:rsidRPr="006A2955">
              <w:rPr>
                <w:rFonts w:ascii="Verdana" w:hAnsi="Verdana"/>
              </w:rPr>
              <w:t>ID</w:t>
            </w:r>
          </w:p>
        </w:tc>
        <w:tc>
          <w:tcPr>
            <w:tcW w:w="7596" w:type="dxa"/>
            <w:noWrap/>
          </w:tcPr>
          <w:p w14:paraId="3B9583B4" w14:textId="26F988A7" w:rsidR="00F10E47" w:rsidRPr="006A2955" w:rsidRDefault="00F10E47" w:rsidP="00F10E47">
            <w:pPr>
              <w:rPr>
                <w:rFonts w:ascii="Verdana" w:hAnsi="Verdana"/>
              </w:rPr>
            </w:pPr>
            <w:r w:rsidRPr="006A2955">
              <w:rPr>
                <w:rFonts w:ascii="Verdana" w:hAnsi="Verdana"/>
              </w:rPr>
              <w:t>An anonymized unique identifier for defendants</w:t>
            </w:r>
          </w:p>
        </w:tc>
      </w:tr>
      <w:tr w:rsidR="00F10E47" w:rsidRPr="00A469AA" w14:paraId="47C47E00" w14:textId="77777777" w:rsidTr="004D361B">
        <w:trPr>
          <w:trHeight w:val="288"/>
        </w:trPr>
        <w:tc>
          <w:tcPr>
            <w:tcW w:w="1754" w:type="dxa"/>
            <w:noWrap/>
            <w:hideMark/>
          </w:tcPr>
          <w:p w14:paraId="69C7DD6C" w14:textId="77777777" w:rsidR="00F10E47" w:rsidRPr="00A469AA" w:rsidRDefault="00F10E47" w:rsidP="00F10E47">
            <w:pPr>
              <w:rPr>
                <w:rFonts w:ascii="Verdana" w:hAnsi="Verdana"/>
              </w:rPr>
            </w:pPr>
            <w:r w:rsidRPr="00A469AA">
              <w:rPr>
                <w:rFonts w:ascii="Verdana" w:hAnsi="Verdana"/>
              </w:rPr>
              <w:t>Auto Theft Fine</w:t>
            </w:r>
          </w:p>
        </w:tc>
        <w:tc>
          <w:tcPr>
            <w:tcW w:w="7596" w:type="dxa"/>
            <w:noWrap/>
            <w:hideMark/>
          </w:tcPr>
          <w:p w14:paraId="338671B2" w14:textId="77777777" w:rsidR="00F10E47" w:rsidRPr="00A469AA" w:rsidRDefault="00F10E47" w:rsidP="00F10E47">
            <w:pPr>
              <w:rPr>
                <w:rFonts w:ascii="Verdana" w:hAnsi="Verdana"/>
              </w:rPr>
            </w:pPr>
            <w:r w:rsidRPr="00A469AA">
              <w:rPr>
                <w:rFonts w:ascii="Verdana" w:hAnsi="Verdana"/>
              </w:rPr>
              <w:t>The Auto Theft Fine is assessed when a person convicted of an offense involving the theft or unlawful taking of a motor vehicle is subject to a monetary penalty of $500 for a first offense, $750 for a second offense, and $1,000 for a third or subsequent offense.</w:t>
            </w:r>
            <w:r w:rsidR="00AF0866">
              <w:rPr>
                <w:rFonts w:ascii="Verdana" w:hAnsi="Verdana"/>
              </w:rPr>
              <w:t xml:space="preserve"> </w:t>
            </w:r>
          </w:p>
        </w:tc>
      </w:tr>
      <w:tr w:rsidR="00F10E47" w:rsidRPr="00A469AA" w14:paraId="3D05FAED" w14:textId="77777777" w:rsidTr="004D361B">
        <w:trPr>
          <w:trHeight w:val="288"/>
        </w:trPr>
        <w:tc>
          <w:tcPr>
            <w:tcW w:w="1754" w:type="dxa"/>
            <w:noWrap/>
            <w:hideMark/>
          </w:tcPr>
          <w:p w14:paraId="582292A7" w14:textId="77777777" w:rsidR="00F10E47" w:rsidRPr="00A469AA" w:rsidRDefault="00F10E47" w:rsidP="00F10E47">
            <w:pPr>
              <w:rPr>
                <w:rFonts w:ascii="Verdana" w:hAnsi="Verdana"/>
              </w:rPr>
            </w:pPr>
            <w:r w:rsidRPr="00A469AA">
              <w:rPr>
                <w:rFonts w:ascii="Verdana" w:hAnsi="Verdana"/>
              </w:rPr>
              <w:t>Diversionary Program Fee</w:t>
            </w:r>
          </w:p>
        </w:tc>
        <w:tc>
          <w:tcPr>
            <w:tcW w:w="7596" w:type="dxa"/>
            <w:noWrap/>
            <w:hideMark/>
          </w:tcPr>
          <w:p w14:paraId="4160E38A" w14:textId="4DFC3E2B" w:rsidR="00F10E47" w:rsidRPr="00A469AA" w:rsidRDefault="00F10E47" w:rsidP="00F10E47">
            <w:pPr>
              <w:rPr>
                <w:rFonts w:ascii="Verdana" w:hAnsi="Verdana"/>
              </w:rPr>
            </w:pPr>
            <w:r w:rsidRPr="00A469AA">
              <w:rPr>
                <w:rFonts w:ascii="Verdana" w:hAnsi="Verdana"/>
              </w:rPr>
              <w:t>The Diversionary Program Fee is a $75 application fee for consideration in a diversionary program.</w:t>
            </w:r>
          </w:p>
        </w:tc>
      </w:tr>
      <w:tr w:rsidR="00F10E47" w:rsidRPr="00A469AA" w14:paraId="579FD383" w14:textId="77777777" w:rsidTr="004D361B">
        <w:trPr>
          <w:trHeight w:val="288"/>
        </w:trPr>
        <w:tc>
          <w:tcPr>
            <w:tcW w:w="1754" w:type="dxa"/>
            <w:noWrap/>
            <w:hideMark/>
          </w:tcPr>
          <w:p w14:paraId="29782F1D" w14:textId="77777777" w:rsidR="00F10E47" w:rsidRPr="00A469AA" w:rsidRDefault="00F10E47" w:rsidP="00F10E47">
            <w:pPr>
              <w:rPr>
                <w:rFonts w:ascii="Verdana" w:hAnsi="Verdana"/>
              </w:rPr>
            </w:pPr>
            <w:r w:rsidRPr="00A469AA">
              <w:rPr>
                <w:rFonts w:ascii="Verdana" w:hAnsi="Verdana"/>
              </w:rPr>
              <w:t>Drug Abuse Education Fund Fine</w:t>
            </w:r>
          </w:p>
        </w:tc>
        <w:tc>
          <w:tcPr>
            <w:tcW w:w="7596" w:type="dxa"/>
            <w:noWrap/>
            <w:hideMark/>
          </w:tcPr>
          <w:p w14:paraId="02B43D49" w14:textId="037A6009" w:rsidR="00F10E47" w:rsidRPr="00A469AA" w:rsidRDefault="00F10E47" w:rsidP="00F10E47">
            <w:pPr>
              <w:rPr>
                <w:rFonts w:ascii="Verdana" w:hAnsi="Verdana"/>
              </w:rPr>
            </w:pPr>
            <w:r w:rsidRPr="00A469AA">
              <w:rPr>
                <w:rFonts w:ascii="Verdana" w:hAnsi="Verdana"/>
              </w:rPr>
              <w:t>The Drug Abuse Education Fund Fine is assessed when a person convicted of an offense defined in Chapter 35 or 36 of Title 2C of the New Jersey is subject to a monetary penalty of $50 for each conviction.</w:t>
            </w:r>
          </w:p>
        </w:tc>
      </w:tr>
      <w:tr w:rsidR="00F10E47" w:rsidRPr="00A469AA" w14:paraId="71022E84" w14:textId="77777777" w:rsidTr="004D361B">
        <w:trPr>
          <w:trHeight w:val="288"/>
        </w:trPr>
        <w:tc>
          <w:tcPr>
            <w:tcW w:w="1754" w:type="dxa"/>
            <w:noWrap/>
            <w:hideMark/>
          </w:tcPr>
          <w:p w14:paraId="29823910" w14:textId="77777777" w:rsidR="00F10E47" w:rsidRPr="00A469AA" w:rsidRDefault="00F10E47" w:rsidP="00F10E47">
            <w:pPr>
              <w:rPr>
                <w:rFonts w:ascii="Verdana" w:hAnsi="Verdana"/>
              </w:rPr>
            </w:pPr>
            <w:r w:rsidRPr="00A469AA">
              <w:rPr>
                <w:rFonts w:ascii="Verdana" w:hAnsi="Verdana"/>
              </w:rPr>
              <w:t>Law Enforcement Officers Training and Equipment Fund Fine</w:t>
            </w:r>
          </w:p>
        </w:tc>
        <w:tc>
          <w:tcPr>
            <w:tcW w:w="7596" w:type="dxa"/>
            <w:noWrap/>
            <w:hideMark/>
          </w:tcPr>
          <w:p w14:paraId="03D3D795" w14:textId="3B03B5E9" w:rsidR="00F10E47" w:rsidRPr="00A469AA" w:rsidRDefault="00F10E47" w:rsidP="00F10E47">
            <w:pPr>
              <w:rPr>
                <w:rFonts w:ascii="Verdana" w:hAnsi="Verdana"/>
              </w:rPr>
            </w:pPr>
            <w:r w:rsidRPr="00A469AA">
              <w:rPr>
                <w:rFonts w:ascii="Verdana" w:hAnsi="Verdana"/>
              </w:rPr>
              <w:t>The Law Enforcement Officers Training and Equipment Fund Fine (LEOTEF) is assessed when a person convicted of a crime is subject to a monetary penalty of $30 which provides funds for the work of law enforcement.</w:t>
            </w:r>
          </w:p>
        </w:tc>
      </w:tr>
      <w:tr w:rsidR="00F10E47" w:rsidRPr="00A469AA" w14:paraId="0C6AB0D1" w14:textId="77777777" w:rsidTr="004D361B">
        <w:trPr>
          <w:trHeight w:val="288"/>
        </w:trPr>
        <w:tc>
          <w:tcPr>
            <w:tcW w:w="1754" w:type="dxa"/>
            <w:noWrap/>
            <w:hideMark/>
          </w:tcPr>
          <w:p w14:paraId="7BBF716A" w14:textId="77777777" w:rsidR="00F10E47" w:rsidRPr="00A469AA" w:rsidRDefault="00F10E47" w:rsidP="00F10E47">
            <w:pPr>
              <w:rPr>
                <w:rFonts w:ascii="Verdana" w:hAnsi="Verdana"/>
              </w:rPr>
            </w:pPr>
            <w:r w:rsidRPr="00A469AA">
              <w:rPr>
                <w:rFonts w:ascii="Verdana" w:hAnsi="Verdana"/>
              </w:rPr>
              <w:t>Safe Neighborhood Services Fund</w:t>
            </w:r>
          </w:p>
        </w:tc>
        <w:tc>
          <w:tcPr>
            <w:tcW w:w="7596" w:type="dxa"/>
            <w:noWrap/>
            <w:hideMark/>
          </w:tcPr>
          <w:p w14:paraId="7A6EEC43" w14:textId="77777777" w:rsidR="00F10E47" w:rsidRPr="00A469AA" w:rsidRDefault="00F10E47" w:rsidP="00F10E47">
            <w:pPr>
              <w:rPr>
                <w:rFonts w:ascii="Verdana" w:hAnsi="Verdana"/>
              </w:rPr>
            </w:pPr>
            <w:r w:rsidRPr="00A469AA">
              <w:rPr>
                <w:rFonts w:ascii="Verdana" w:hAnsi="Verdana"/>
              </w:rPr>
              <w:t>The Safe Neighborhood Services Fund Fine is assessed when a person convicted of violating N.J.S.A. 39:4-50 is subject to a monetary penalty of $75 for each conviction which provides funds for community law enforcement programs.</w:t>
            </w:r>
          </w:p>
        </w:tc>
      </w:tr>
      <w:tr w:rsidR="00F10E47" w:rsidRPr="00A469AA" w14:paraId="59C44367" w14:textId="77777777" w:rsidTr="004D361B">
        <w:trPr>
          <w:trHeight w:val="288"/>
        </w:trPr>
        <w:tc>
          <w:tcPr>
            <w:tcW w:w="1754" w:type="dxa"/>
            <w:noWrap/>
            <w:hideMark/>
          </w:tcPr>
          <w:p w14:paraId="740DF9BF" w14:textId="77777777" w:rsidR="00F10E47" w:rsidRPr="00A469AA" w:rsidRDefault="00F10E47" w:rsidP="00F10E47">
            <w:pPr>
              <w:rPr>
                <w:rFonts w:ascii="Verdana" w:hAnsi="Verdana"/>
              </w:rPr>
            </w:pPr>
            <w:r w:rsidRPr="00A469AA">
              <w:rPr>
                <w:rFonts w:ascii="Verdana" w:hAnsi="Verdana"/>
              </w:rPr>
              <w:t>Drug Enforcement Rehab Fine</w:t>
            </w:r>
          </w:p>
        </w:tc>
        <w:tc>
          <w:tcPr>
            <w:tcW w:w="7596" w:type="dxa"/>
            <w:noWrap/>
            <w:hideMark/>
          </w:tcPr>
          <w:p w14:paraId="5732FA96" w14:textId="28002E15" w:rsidR="00F10E47" w:rsidRPr="00A469AA" w:rsidRDefault="00F10E47" w:rsidP="00F10E47">
            <w:pPr>
              <w:rPr>
                <w:rFonts w:ascii="Verdana" w:hAnsi="Verdana"/>
              </w:rPr>
            </w:pPr>
            <w:r w:rsidRPr="00A469AA">
              <w:rPr>
                <w:rFonts w:ascii="Verdana" w:hAnsi="Verdana"/>
              </w:rPr>
              <w:t>The Drug Enforcement and Demand Reduction Penalty Fine (DEDR) is assessed when a person convicted of an offense defined in Chapter 35 or 36 of Title 2C of the New Jersey Statutes is subject to a monetary penalty between $500 to $3000 for each conviction which provides funds for local rehabilitation programs and educational services.</w:t>
            </w:r>
          </w:p>
        </w:tc>
      </w:tr>
      <w:tr w:rsidR="00F10E47" w:rsidRPr="00A469AA" w14:paraId="68ACF1EE" w14:textId="77777777" w:rsidTr="004D361B">
        <w:trPr>
          <w:trHeight w:val="288"/>
        </w:trPr>
        <w:tc>
          <w:tcPr>
            <w:tcW w:w="1754" w:type="dxa"/>
            <w:noWrap/>
            <w:hideMark/>
          </w:tcPr>
          <w:p w14:paraId="595AAA5F" w14:textId="77777777" w:rsidR="00F10E47" w:rsidRPr="00A469AA" w:rsidRDefault="00F10E47" w:rsidP="00F10E47">
            <w:pPr>
              <w:rPr>
                <w:rFonts w:ascii="Verdana" w:hAnsi="Verdana"/>
              </w:rPr>
            </w:pPr>
            <w:r w:rsidRPr="00A469AA">
              <w:rPr>
                <w:rFonts w:ascii="Verdana" w:hAnsi="Verdana"/>
              </w:rPr>
              <w:t>Forensic Lab Fee</w:t>
            </w:r>
          </w:p>
        </w:tc>
        <w:tc>
          <w:tcPr>
            <w:tcW w:w="7596" w:type="dxa"/>
            <w:noWrap/>
            <w:hideMark/>
          </w:tcPr>
          <w:p w14:paraId="0646E431" w14:textId="29F4B28C" w:rsidR="00F10E47" w:rsidRPr="00A469AA" w:rsidRDefault="00F10E47" w:rsidP="00F10E47">
            <w:pPr>
              <w:rPr>
                <w:rFonts w:ascii="Verdana" w:hAnsi="Verdana"/>
              </w:rPr>
            </w:pPr>
            <w:r w:rsidRPr="00A469AA">
              <w:rPr>
                <w:rFonts w:ascii="Verdana" w:hAnsi="Verdana"/>
              </w:rPr>
              <w:t>The Forensic Lab Fee is assessed when a person convicted of a crime is subject to a fee of $50 which provides funds for county and state crime laboratories.</w:t>
            </w:r>
          </w:p>
        </w:tc>
      </w:tr>
      <w:tr w:rsidR="00F10E47" w:rsidRPr="00A469AA" w14:paraId="00BC127B" w14:textId="77777777" w:rsidTr="004D361B">
        <w:trPr>
          <w:trHeight w:val="288"/>
        </w:trPr>
        <w:tc>
          <w:tcPr>
            <w:tcW w:w="1754" w:type="dxa"/>
            <w:noWrap/>
            <w:hideMark/>
          </w:tcPr>
          <w:p w14:paraId="4DCA3843" w14:textId="77777777" w:rsidR="00F10E47" w:rsidRPr="00A469AA" w:rsidRDefault="00F10E47" w:rsidP="00F10E47">
            <w:pPr>
              <w:rPr>
                <w:rFonts w:ascii="Verdana" w:hAnsi="Verdana"/>
              </w:rPr>
            </w:pPr>
            <w:r w:rsidRPr="00A469AA">
              <w:rPr>
                <w:rFonts w:ascii="Verdana" w:hAnsi="Verdana"/>
              </w:rPr>
              <w:t>Violent Crime Program Fee</w:t>
            </w:r>
          </w:p>
        </w:tc>
        <w:tc>
          <w:tcPr>
            <w:tcW w:w="7596" w:type="dxa"/>
            <w:noWrap/>
            <w:hideMark/>
          </w:tcPr>
          <w:p w14:paraId="61DD4565" w14:textId="77777777" w:rsidR="00F10E47" w:rsidRPr="00A469AA" w:rsidRDefault="00F10E47" w:rsidP="00F10E47">
            <w:pPr>
              <w:rPr>
                <w:rFonts w:ascii="Verdana" w:hAnsi="Verdana"/>
              </w:rPr>
            </w:pPr>
            <w:r w:rsidRPr="00A469AA">
              <w:rPr>
                <w:rFonts w:ascii="Verdana" w:hAnsi="Verdana"/>
              </w:rPr>
              <w:t>The Violent Crime Program Fee (VCCO) provides funds to cover claims made by crime victims.</w:t>
            </w:r>
          </w:p>
        </w:tc>
      </w:tr>
      <w:tr w:rsidR="00F10E47" w:rsidRPr="00A469AA" w14:paraId="2530781B" w14:textId="77777777" w:rsidTr="004D361B">
        <w:trPr>
          <w:trHeight w:val="288"/>
        </w:trPr>
        <w:tc>
          <w:tcPr>
            <w:tcW w:w="1754" w:type="dxa"/>
            <w:noWrap/>
            <w:hideMark/>
          </w:tcPr>
          <w:p w14:paraId="4A1DA38B" w14:textId="77777777" w:rsidR="00F10E47" w:rsidRPr="00A469AA" w:rsidRDefault="00F10E47" w:rsidP="00F10E47">
            <w:pPr>
              <w:rPr>
                <w:rFonts w:ascii="Verdana" w:hAnsi="Verdana"/>
              </w:rPr>
            </w:pPr>
            <w:r w:rsidRPr="00A469AA">
              <w:rPr>
                <w:rFonts w:ascii="Verdana" w:hAnsi="Verdana"/>
              </w:rPr>
              <w:t>Automation Fee</w:t>
            </w:r>
          </w:p>
        </w:tc>
        <w:tc>
          <w:tcPr>
            <w:tcW w:w="7596" w:type="dxa"/>
            <w:noWrap/>
            <w:hideMark/>
          </w:tcPr>
          <w:p w14:paraId="6E17E170" w14:textId="2B727350" w:rsidR="00F10E47" w:rsidRPr="00A469AA" w:rsidRDefault="00F10E47" w:rsidP="00F10E47">
            <w:pPr>
              <w:rPr>
                <w:rFonts w:ascii="Verdana" w:hAnsi="Verdana"/>
              </w:rPr>
            </w:pPr>
            <w:r w:rsidRPr="00A469AA">
              <w:rPr>
                <w:rFonts w:ascii="Verdana" w:hAnsi="Verdana"/>
              </w:rPr>
              <w:t>The Automation Fee provides funds for the computerization of the New Jersey Courts.</w:t>
            </w:r>
          </w:p>
        </w:tc>
      </w:tr>
      <w:tr w:rsidR="00F10E47" w:rsidRPr="00A469AA" w14:paraId="1312BDA3" w14:textId="77777777" w:rsidTr="004D361B">
        <w:trPr>
          <w:trHeight w:val="288"/>
        </w:trPr>
        <w:tc>
          <w:tcPr>
            <w:tcW w:w="1754" w:type="dxa"/>
            <w:noWrap/>
            <w:hideMark/>
          </w:tcPr>
          <w:p w14:paraId="4F7C655F" w14:textId="77777777" w:rsidR="00F10E47" w:rsidRPr="00A469AA" w:rsidRDefault="00F10E47" w:rsidP="00F10E47">
            <w:pPr>
              <w:rPr>
                <w:rFonts w:ascii="Verdana" w:hAnsi="Verdana"/>
              </w:rPr>
            </w:pPr>
            <w:r w:rsidRPr="00A469AA">
              <w:rPr>
                <w:rFonts w:ascii="Verdana" w:hAnsi="Verdana"/>
              </w:rPr>
              <w:lastRenderedPageBreak/>
              <w:t>Municipal Court Fines Fees</w:t>
            </w:r>
          </w:p>
        </w:tc>
        <w:tc>
          <w:tcPr>
            <w:tcW w:w="7596" w:type="dxa"/>
            <w:noWrap/>
            <w:hideMark/>
          </w:tcPr>
          <w:p w14:paraId="7249C4E0" w14:textId="77777777" w:rsidR="00F10E47" w:rsidRPr="00A469AA" w:rsidRDefault="00F10E47" w:rsidP="00F10E47">
            <w:pPr>
              <w:rPr>
                <w:rFonts w:ascii="Verdana" w:hAnsi="Verdana"/>
              </w:rPr>
            </w:pPr>
            <w:r w:rsidRPr="00A469AA">
              <w:rPr>
                <w:rFonts w:ascii="Verdana" w:hAnsi="Verdana"/>
              </w:rPr>
              <w:t>The Municipal Court fee is assessed when a person convicted of a criminal offense in Municipal Court is subject to a fee of no more than $33.</w:t>
            </w:r>
          </w:p>
        </w:tc>
      </w:tr>
      <w:tr w:rsidR="00F10E47" w:rsidRPr="00A469AA" w14:paraId="398FEBE4" w14:textId="77777777" w:rsidTr="004D361B">
        <w:trPr>
          <w:trHeight w:val="288"/>
        </w:trPr>
        <w:tc>
          <w:tcPr>
            <w:tcW w:w="1754" w:type="dxa"/>
            <w:noWrap/>
            <w:hideMark/>
          </w:tcPr>
          <w:p w14:paraId="5101DE38" w14:textId="77777777" w:rsidR="00F10E47" w:rsidRPr="00A469AA" w:rsidRDefault="00F10E47" w:rsidP="00F10E47">
            <w:pPr>
              <w:rPr>
                <w:rFonts w:ascii="Verdana" w:hAnsi="Verdana"/>
              </w:rPr>
            </w:pPr>
            <w:r w:rsidRPr="00A469AA">
              <w:rPr>
                <w:rFonts w:ascii="Verdana" w:hAnsi="Verdana"/>
              </w:rPr>
              <w:t>Restitution</w:t>
            </w:r>
          </w:p>
        </w:tc>
        <w:tc>
          <w:tcPr>
            <w:tcW w:w="7596" w:type="dxa"/>
            <w:noWrap/>
            <w:hideMark/>
          </w:tcPr>
          <w:p w14:paraId="4FB6F989" w14:textId="20E58CAC" w:rsidR="00F10E47" w:rsidRPr="00A469AA" w:rsidRDefault="00462DC8" w:rsidP="00F10E47">
            <w:pPr>
              <w:rPr>
                <w:rFonts w:ascii="Verdana" w:hAnsi="Verdana"/>
              </w:rPr>
            </w:pPr>
            <w:r>
              <w:rPr>
                <w:rFonts w:ascii="Verdana" w:hAnsi="Verdana"/>
              </w:rPr>
              <w:t xml:space="preserve">Reflects the restitution ordered. </w:t>
            </w:r>
            <w:r w:rsidR="00F10E47" w:rsidRPr="00A469AA">
              <w:rPr>
                <w:rFonts w:ascii="Verdana" w:hAnsi="Verdana"/>
              </w:rPr>
              <w:t>Restitution is the repayment for losses and expenses resulting from a crime to the victim or family of a victim.</w:t>
            </w:r>
          </w:p>
        </w:tc>
      </w:tr>
    </w:tbl>
    <w:p w14:paraId="61594B9D" w14:textId="77777777" w:rsidR="007C44AC" w:rsidRDefault="007C44AC" w:rsidP="00A469AA">
      <w:pPr>
        <w:spacing w:after="0"/>
        <w:rPr>
          <w:rFonts w:ascii="Verdana" w:hAnsi="Verdana"/>
        </w:rPr>
      </w:pPr>
    </w:p>
    <w:p w14:paraId="39B6B24F" w14:textId="77777777" w:rsidR="00462DC8" w:rsidRPr="00A469AA" w:rsidRDefault="00B87ABE" w:rsidP="00462DC8">
      <w:pPr>
        <w:pStyle w:val="Heading3"/>
        <w:spacing w:before="0"/>
        <w:rPr>
          <w:rFonts w:ascii="Verdana" w:eastAsia="Times New Roman" w:hAnsi="Verdana"/>
          <w:color w:val="2E3591"/>
        </w:rPr>
      </w:pPr>
      <w:r>
        <w:rPr>
          <w:rFonts w:ascii="Verdana" w:eastAsia="Times New Roman" w:hAnsi="Verdana"/>
          <w:color w:val="2E3591"/>
        </w:rPr>
        <w:t>Incarcerated Defendants</w:t>
      </w:r>
    </w:p>
    <w:p w14:paraId="30E3463C" w14:textId="77777777" w:rsidR="00462DC8" w:rsidRDefault="00B87ABE" w:rsidP="00A469AA">
      <w:pPr>
        <w:spacing w:after="0"/>
        <w:rPr>
          <w:rFonts w:ascii="Verdana" w:hAnsi="Verdana"/>
        </w:rPr>
      </w:pPr>
      <w:r>
        <w:rPr>
          <w:rFonts w:ascii="Verdana" w:hAnsi="Verdana"/>
        </w:rPr>
        <w:t>This table includes only defendants that have been incarcerated.</w:t>
      </w:r>
    </w:p>
    <w:tbl>
      <w:tblPr>
        <w:tblStyle w:val="TableGrid"/>
        <w:tblW w:w="0" w:type="auto"/>
        <w:tblLook w:val="04A0" w:firstRow="1" w:lastRow="0" w:firstColumn="1" w:lastColumn="0" w:noHBand="0" w:noVBand="1"/>
      </w:tblPr>
      <w:tblGrid>
        <w:gridCol w:w="1754"/>
        <w:gridCol w:w="7596"/>
      </w:tblGrid>
      <w:tr w:rsidR="00B87ABE" w:rsidRPr="00C3670E" w14:paraId="034EE95A" w14:textId="77777777" w:rsidTr="002F3FE4">
        <w:trPr>
          <w:trHeight w:val="288"/>
        </w:trPr>
        <w:tc>
          <w:tcPr>
            <w:tcW w:w="1754" w:type="dxa"/>
            <w:noWrap/>
            <w:hideMark/>
          </w:tcPr>
          <w:p w14:paraId="1A0A34DB" w14:textId="77777777" w:rsidR="00B87ABE" w:rsidRPr="00C3670E" w:rsidRDefault="00B87ABE" w:rsidP="002F3FE4">
            <w:pPr>
              <w:rPr>
                <w:rFonts w:ascii="Verdana" w:hAnsi="Verdana"/>
                <w:b/>
              </w:rPr>
            </w:pPr>
            <w:r w:rsidRPr="00C3670E">
              <w:rPr>
                <w:rFonts w:ascii="Verdana" w:hAnsi="Verdana"/>
                <w:b/>
              </w:rPr>
              <w:t>Field Name</w:t>
            </w:r>
          </w:p>
        </w:tc>
        <w:tc>
          <w:tcPr>
            <w:tcW w:w="7596" w:type="dxa"/>
            <w:noWrap/>
            <w:hideMark/>
          </w:tcPr>
          <w:p w14:paraId="149A6CDC" w14:textId="77777777" w:rsidR="00B87ABE" w:rsidRPr="00C3670E" w:rsidRDefault="00B87ABE" w:rsidP="002F3FE4">
            <w:pPr>
              <w:rPr>
                <w:rFonts w:ascii="Verdana" w:hAnsi="Verdana"/>
                <w:b/>
              </w:rPr>
            </w:pPr>
            <w:r w:rsidRPr="00C3670E">
              <w:rPr>
                <w:rFonts w:ascii="Verdana" w:hAnsi="Verdana"/>
                <w:b/>
              </w:rPr>
              <w:t>Description</w:t>
            </w:r>
          </w:p>
        </w:tc>
      </w:tr>
      <w:tr w:rsidR="00B87ABE" w:rsidRPr="006A2955" w14:paraId="6251ACDB" w14:textId="77777777" w:rsidTr="002F3FE4">
        <w:trPr>
          <w:trHeight w:val="288"/>
        </w:trPr>
        <w:tc>
          <w:tcPr>
            <w:tcW w:w="1754" w:type="dxa"/>
            <w:noWrap/>
            <w:hideMark/>
          </w:tcPr>
          <w:p w14:paraId="055AC25E" w14:textId="77777777" w:rsidR="00B87ABE" w:rsidRPr="006A2955" w:rsidRDefault="00B87ABE" w:rsidP="002F3FE4">
            <w:pPr>
              <w:rPr>
                <w:rFonts w:ascii="Verdana" w:hAnsi="Verdana"/>
              </w:rPr>
            </w:pPr>
            <w:r w:rsidRPr="006A2955">
              <w:rPr>
                <w:rFonts w:ascii="Verdana" w:hAnsi="Verdana"/>
              </w:rPr>
              <w:t>ID</w:t>
            </w:r>
          </w:p>
        </w:tc>
        <w:tc>
          <w:tcPr>
            <w:tcW w:w="7596" w:type="dxa"/>
            <w:noWrap/>
            <w:hideMark/>
          </w:tcPr>
          <w:p w14:paraId="05DF4B20" w14:textId="77777777" w:rsidR="00B87ABE" w:rsidRPr="006A2955" w:rsidRDefault="00B87ABE" w:rsidP="002F3FE4">
            <w:pPr>
              <w:rPr>
                <w:rFonts w:ascii="Verdana" w:hAnsi="Verdana"/>
              </w:rPr>
            </w:pPr>
            <w:r w:rsidRPr="006A2955">
              <w:rPr>
                <w:rFonts w:ascii="Verdana" w:hAnsi="Verdana"/>
              </w:rPr>
              <w:t>An anonymized unique identifier for defendants</w:t>
            </w:r>
          </w:p>
        </w:tc>
      </w:tr>
      <w:tr w:rsidR="00B87ABE" w:rsidRPr="006A2955" w14:paraId="4CF1E839" w14:textId="77777777" w:rsidTr="002F3FE4">
        <w:trPr>
          <w:trHeight w:val="288"/>
        </w:trPr>
        <w:tc>
          <w:tcPr>
            <w:tcW w:w="1754" w:type="dxa"/>
            <w:noWrap/>
          </w:tcPr>
          <w:p w14:paraId="7FD99800" w14:textId="77777777" w:rsidR="00B87ABE" w:rsidRPr="006A2955" w:rsidRDefault="00B87ABE" w:rsidP="002F3FE4">
            <w:pPr>
              <w:rPr>
                <w:rFonts w:ascii="Verdana" w:hAnsi="Verdana"/>
              </w:rPr>
            </w:pPr>
            <w:r>
              <w:rPr>
                <w:rFonts w:ascii="Verdana" w:hAnsi="Verdana"/>
              </w:rPr>
              <w:t>Incarcerated</w:t>
            </w:r>
          </w:p>
        </w:tc>
        <w:tc>
          <w:tcPr>
            <w:tcW w:w="7596" w:type="dxa"/>
            <w:noWrap/>
          </w:tcPr>
          <w:p w14:paraId="59A93F65" w14:textId="77777777" w:rsidR="00B87ABE" w:rsidRPr="006A2955" w:rsidRDefault="00B87ABE" w:rsidP="002F3FE4">
            <w:pPr>
              <w:rPr>
                <w:rFonts w:ascii="Verdana" w:hAnsi="Verdana"/>
              </w:rPr>
            </w:pPr>
            <w:r>
              <w:rPr>
                <w:rFonts w:ascii="Verdana" w:hAnsi="Verdana"/>
              </w:rPr>
              <w:t>Yes</w:t>
            </w:r>
          </w:p>
        </w:tc>
      </w:tr>
    </w:tbl>
    <w:p w14:paraId="7766A713" w14:textId="77777777" w:rsidR="00B87ABE" w:rsidRDefault="00B87ABE" w:rsidP="00A469AA">
      <w:pPr>
        <w:spacing w:after="0"/>
        <w:rPr>
          <w:rFonts w:ascii="Verdana" w:hAnsi="Verdana"/>
        </w:rPr>
      </w:pPr>
    </w:p>
    <w:p w14:paraId="382471F9" w14:textId="77777777" w:rsidR="00462DC8" w:rsidRPr="000A19DD" w:rsidRDefault="00462DC8" w:rsidP="00A469AA">
      <w:pPr>
        <w:spacing w:after="0"/>
        <w:rPr>
          <w:rFonts w:ascii="Verdana" w:hAnsi="Verdana"/>
        </w:rPr>
      </w:pPr>
    </w:p>
    <w:p w14:paraId="693530DA" w14:textId="77777777" w:rsidR="003D6558" w:rsidRPr="00A469AA" w:rsidRDefault="003D6558" w:rsidP="00A469AA">
      <w:pPr>
        <w:pStyle w:val="Heading1"/>
        <w:spacing w:before="0"/>
        <w:rPr>
          <w:rFonts w:ascii="Verdana" w:hAnsi="Verdana"/>
          <w:color w:val="2E3591"/>
        </w:rPr>
      </w:pPr>
      <w:r w:rsidRPr="00A469AA">
        <w:rPr>
          <w:rFonts w:ascii="Verdana" w:hAnsi="Verdana"/>
          <w:color w:val="2E3591"/>
        </w:rPr>
        <w:t>Census Data</w:t>
      </w:r>
    </w:p>
    <w:p w14:paraId="389FFB67" w14:textId="77777777" w:rsidR="003D6558" w:rsidRPr="00A469AA" w:rsidRDefault="003D6558" w:rsidP="00A469AA">
      <w:pPr>
        <w:shd w:val="clear" w:color="auto" w:fill="FFFFFF"/>
        <w:spacing w:after="0" w:line="240" w:lineRule="auto"/>
        <w:rPr>
          <w:rFonts w:ascii="Verdana" w:eastAsia="Times New Roman" w:hAnsi="Verdana" w:cs="Times New Roman"/>
          <w:color w:val="252423"/>
        </w:rPr>
      </w:pPr>
      <w:r w:rsidRPr="00A469AA">
        <w:rPr>
          <w:rFonts w:ascii="Verdana" w:eastAsia="Times New Roman" w:hAnsi="Verdana" w:cs="Times New Roman"/>
          <w:color w:val="252423"/>
        </w:rPr>
        <w:t xml:space="preserve">The 2020 Census data were obtained directly from the Census Bureau: </w:t>
      </w:r>
      <w:hyperlink r:id="rId10" w:history="1">
        <w:r w:rsidRPr="00A469AA">
          <w:rPr>
            <w:rStyle w:val="Hyperlink"/>
            <w:rFonts w:ascii="Verdana" w:eastAsia="Times New Roman" w:hAnsi="Verdana" w:cs="Times New Roman"/>
          </w:rPr>
          <w:t>Click here for Census Data</w:t>
        </w:r>
      </w:hyperlink>
      <w:r w:rsidRPr="00A469AA">
        <w:rPr>
          <w:rFonts w:ascii="Verdana" w:eastAsia="Times New Roman" w:hAnsi="Verdana" w:cs="Times New Roman"/>
          <w:color w:val="252423"/>
        </w:rPr>
        <w:t xml:space="preserve">  </w:t>
      </w:r>
    </w:p>
    <w:p w14:paraId="6C7C80F2" w14:textId="77777777" w:rsidR="003D6558" w:rsidRPr="000A19DD" w:rsidRDefault="003D6558" w:rsidP="00A469AA">
      <w:pPr>
        <w:spacing w:after="0"/>
        <w:rPr>
          <w:rFonts w:ascii="Verdana" w:hAnsi="Verdana"/>
        </w:rPr>
      </w:pPr>
    </w:p>
    <w:p w14:paraId="7F6BBEA5" w14:textId="77777777" w:rsidR="00C94050" w:rsidRPr="00A469AA" w:rsidRDefault="003D6558" w:rsidP="00A469AA">
      <w:pPr>
        <w:pStyle w:val="Heading1"/>
        <w:spacing w:before="0"/>
        <w:rPr>
          <w:rFonts w:ascii="Verdana" w:hAnsi="Verdana"/>
          <w:color w:val="2E3591"/>
        </w:rPr>
      </w:pPr>
      <w:r w:rsidRPr="00A469AA">
        <w:rPr>
          <w:rFonts w:ascii="Verdana" w:hAnsi="Verdana"/>
          <w:color w:val="2E3591"/>
        </w:rPr>
        <w:t>Data Notes</w:t>
      </w:r>
    </w:p>
    <w:p w14:paraId="637DAE29" w14:textId="576A3B96" w:rsidR="00C94050" w:rsidRPr="000A19DD" w:rsidRDefault="00C94050" w:rsidP="00A469AA">
      <w:pPr>
        <w:spacing w:after="0"/>
        <w:rPr>
          <w:rFonts w:ascii="Verdana" w:hAnsi="Verdana"/>
        </w:rPr>
      </w:pPr>
      <w:r w:rsidRPr="000A19DD">
        <w:rPr>
          <w:rFonts w:ascii="Verdana" w:hAnsi="Verdana"/>
        </w:rPr>
        <w:t xml:space="preserve">The data originate from a LiveScan (electronic fingerprint) of individuals arrested for an indictable, </w:t>
      </w:r>
      <w:proofErr w:type="spellStart"/>
      <w:r w:rsidRPr="000A19DD">
        <w:rPr>
          <w:rFonts w:ascii="Verdana" w:hAnsi="Verdana"/>
        </w:rPr>
        <w:t>fingerprintable</w:t>
      </w:r>
      <w:proofErr w:type="spellEnd"/>
      <w:r w:rsidRPr="000A19DD">
        <w:rPr>
          <w:rFonts w:ascii="Verdana" w:hAnsi="Verdana"/>
        </w:rPr>
        <w:t xml:space="preserve"> offense only. All individuals arrested for an indictable offense in New Jersey are included, displayed by county of arrest regardless of residence.</w:t>
      </w:r>
    </w:p>
    <w:p w14:paraId="678F3C39" w14:textId="77777777" w:rsidR="00A469AA" w:rsidRDefault="00A469AA" w:rsidP="00A469AA">
      <w:pPr>
        <w:spacing w:after="0"/>
        <w:rPr>
          <w:rFonts w:ascii="Verdana" w:hAnsi="Verdana"/>
        </w:rPr>
      </w:pPr>
    </w:p>
    <w:p w14:paraId="7D065508" w14:textId="77777777" w:rsidR="00C94050" w:rsidRPr="000A19DD" w:rsidRDefault="00C94050" w:rsidP="00A469AA">
      <w:pPr>
        <w:spacing w:after="0"/>
        <w:rPr>
          <w:rFonts w:ascii="Verdana" w:hAnsi="Verdana"/>
        </w:rPr>
      </w:pPr>
      <w:r w:rsidRPr="000A19DD">
        <w:rPr>
          <w:rFonts w:ascii="Verdana" w:hAnsi="Verdana"/>
        </w:rPr>
        <w:t xml:space="preserve">As the case is processed, updates are made into </w:t>
      </w:r>
      <w:r w:rsidR="00801704" w:rsidRPr="000A19DD">
        <w:rPr>
          <w:rFonts w:ascii="Verdana" w:hAnsi="Verdana"/>
        </w:rPr>
        <w:t>the</w:t>
      </w:r>
      <w:r w:rsidRPr="000A19DD">
        <w:rPr>
          <w:rFonts w:ascii="Verdana" w:hAnsi="Verdana"/>
        </w:rPr>
        <w:t xml:space="preserve"> database until the case reaches a conclusion—release from the criminal justice system or transfer to another agency, such as the Department of Corrections. </w:t>
      </w:r>
      <w:r w:rsidR="00A469AA" w:rsidRPr="00A469AA">
        <w:rPr>
          <w:rFonts w:ascii="Verdana" w:hAnsi="Verdana"/>
        </w:rPr>
        <w:t xml:space="preserve">The </w:t>
      </w:r>
      <w:r w:rsidR="00A469AA">
        <w:rPr>
          <w:rFonts w:ascii="Verdana" w:hAnsi="Verdana"/>
        </w:rPr>
        <w:t>data files are</w:t>
      </w:r>
      <w:r w:rsidR="00A469AA" w:rsidRPr="00A469AA">
        <w:rPr>
          <w:rFonts w:ascii="Verdana" w:hAnsi="Verdana"/>
        </w:rPr>
        <w:t xml:space="preserve"> in active development and will be updated and modified as additional data are available.</w:t>
      </w:r>
    </w:p>
    <w:p w14:paraId="76CD0106" w14:textId="77777777" w:rsidR="00C94050" w:rsidRPr="000A19DD" w:rsidRDefault="00C94050" w:rsidP="00A469AA">
      <w:pPr>
        <w:spacing w:after="0"/>
        <w:rPr>
          <w:rFonts w:ascii="Verdana" w:hAnsi="Verdana"/>
        </w:rPr>
      </w:pPr>
      <w:r w:rsidRPr="000A19DD">
        <w:rPr>
          <w:rFonts w:ascii="Verdana" w:hAnsi="Verdana"/>
        </w:rPr>
        <w:t xml:space="preserve">  </w:t>
      </w:r>
    </w:p>
    <w:p w14:paraId="38C59713" w14:textId="77777777" w:rsidR="00C94050" w:rsidRPr="005159AE" w:rsidRDefault="00C94050" w:rsidP="007E1E34">
      <w:pPr>
        <w:pStyle w:val="ListParagraph"/>
        <w:numPr>
          <w:ilvl w:val="0"/>
          <w:numId w:val="2"/>
        </w:numPr>
        <w:spacing w:after="0"/>
        <w:rPr>
          <w:rFonts w:ascii="Verdana" w:hAnsi="Verdana"/>
        </w:rPr>
      </w:pPr>
      <w:r w:rsidRPr="005159AE">
        <w:rPr>
          <w:rFonts w:ascii="Verdana" w:hAnsi="Verdana"/>
        </w:rPr>
        <w:t xml:space="preserve">Is this data the same as the Uniform Crime Report? </w:t>
      </w:r>
    </w:p>
    <w:p w14:paraId="0F4191A4" w14:textId="77777777" w:rsidR="00801704" w:rsidRPr="005159AE" w:rsidRDefault="00801704" w:rsidP="00A469AA">
      <w:pPr>
        <w:pStyle w:val="ListParagraph"/>
        <w:spacing w:after="0"/>
        <w:rPr>
          <w:rFonts w:ascii="Verdana" w:hAnsi="Verdana"/>
        </w:rPr>
      </w:pPr>
    </w:p>
    <w:p w14:paraId="617CFCF8" w14:textId="23013B94" w:rsidR="00C94050" w:rsidRPr="005159AE" w:rsidRDefault="00C94050" w:rsidP="00A469AA">
      <w:pPr>
        <w:pStyle w:val="ListParagraph"/>
        <w:spacing w:after="0"/>
        <w:rPr>
          <w:rFonts w:ascii="Verdana" w:hAnsi="Verdana"/>
        </w:rPr>
      </w:pPr>
      <w:r w:rsidRPr="005159AE">
        <w:rPr>
          <w:rFonts w:ascii="Verdana" w:hAnsi="Verdana"/>
        </w:rPr>
        <w:t>No. The Uniform Crime Report focuses on arrests cleared. Agencies report information based on the most serious offense for events that have reached a conclusion.</w:t>
      </w:r>
    </w:p>
    <w:p w14:paraId="13019F5F" w14:textId="77777777" w:rsidR="00C94050" w:rsidRPr="005159AE" w:rsidRDefault="00C94050" w:rsidP="00A469AA">
      <w:pPr>
        <w:spacing w:after="0"/>
        <w:ind w:firstLine="96"/>
        <w:rPr>
          <w:rFonts w:ascii="Verdana" w:hAnsi="Verdana"/>
        </w:rPr>
      </w:pPr>
    </w:p>
    <w:p w14:paraId="404BBADB" w14:textId="5DCB3B69" w:rsidR="00C94050" w:rsidRPr="005159AE" w:rsidRDefault="00C94050" w:rsidP="00A469AA">
      <w:pPr>
        <w:pStyle w:val="ListParagraph"/>
        <w:spacing w:after="0"/>
        <w:rPr>
          <w:rFonts w:ascii="Verdana" w:hAnsi="Verdana"/>
        </w:rPr>
      </w:pPr>
      <w:r w:rsidRPr="005159AE">
        <w:rPr>
          <w:rFonts w:ascii="Verdana" w:hAnsi="Verdana"/>
        </w:rPr>
        <w:t xml:space="preserve">The data here include all persons arrested and fingerprinted for an indictable offense. Charge level information includes ALL charges for each arrest, rather than only the most serious. </w:t>
      </w:r>
      <w:r w:rsidR="00801704" w:rsidRPr="005159AE">
        <w:rPr>
          <w:rFonts w:ascii="Verdana" w:hAnsi="Verdana"/>
        </w:rPr>
        <w:t>The</w:t>
      </w:r>
      <w:r w:rsidRPr="005159AE">
        <w:rPr>
          <w:rFonts w:ascii="Verdana" w:hAnsi="Verdana"/>
        </w:rPr>
        <w:t xml:space="preserve"> data also include cases currently in progress, including those that may subsequently be dismissed or dropped. </w:t>
      </w:r>
    </w:p>
    <w:p w14:paraId="344C3801" w14:textId="77777777" w:rsidR="00C94050" w:rsidRPr="005159AE" w:rsidRDefault="00C94050" w:rsidP="00A469AA">
      <w:pPr>
        <w:spacing w:after="0"/>
        <w:rPr>
          <w:rFonts w:ascii="Verdana" w:hAnsi="Verdana"/>
        </w:rPr>
      </w:pPr>
    </w:p>
    <w:p w14:paraId="6B0D4D09" w14:textId="77777777" w:rsidR="00C94050" w:rsidRPr="005159AE" w:rsidDel="007A4E28" w:rsidRDefault="00C94050" w:rsidP="007E1E34">
      <w:pPr>
        <w:pStyle w:val="ListParagraph"/>
        <w:numPr>
          <w:ilvl w:val="0"/>
          <w:numId w:val="2"/>
        </w:numPr>
        <w:spacing w:after="0"/>
        <w:rPr>
          <w:rFonts w:ascii="Verdana" w:hAnsi="Verdana"/>
        </w:rPr>
      </w:pPr>
      <w:r w:rsidRPr="005159AE" w:rsidDel="007A4E28">
        <w:rPr>
          <w:rFonts w:ascii="Verdana" w:hAnsi="Verdana"/>
        </w:rPr>
        <w:t>Can I find information on a specific person? </w:t>
      </w:r>
    </w:p>
    <w:p w14:paraId="785147D4" w14:textId="77777777" w:rsidR="00801704" w:rsidRPr="005159AE" w:rsidDel="007A4E28" w:rsidRDefault="00801704" w:rsidP="00A469AA">
      <w:pPr>
        <w:pStyle w:val="ListParagraph"/>
        <w:spacing w:after="0"/>
        <w:rPr>
          <w:rFonts w:ascii="Verdana" w:hAnsi="Verdana"/>
        </w:rPr>
      </w:pPr>
    </w:p>
    <w:p w14:paraId="613D9011" w14:textId="77777777" w:rsidR="00C94050" w:rsidRPr="005159AE" w:rsidDel="007A4E28" w:rsidRDefault="00C94050" w:rsidP="00A469AA">
      <w:pPr>
        <w:pStyle w:val="ListParagraph"/>
        <w:spacing w:after="0"/>
        <w:rPr>
          <w:rFonts w:ascii="Verdana" w:hAnsi="Verdana"/>
        </w:rPr>
      </w:pPr>
      <w:r w:rsidRPr="005159AE" w:rsidDel="007A4E28">
        <w:rPr>
          <w:rFonts w:ascii="Verdana" w:hAnsi="Verdana"/>
        </w:rPr>
        <w:t>No. The data here are de-identified—the identity of each person has been anonymized.</w:t>
      </w:r>
    </w:p>
    <w:p w14:paraId="11CCC65A" w14:textId="77777777" w:rsidR="00C94050" w:rsidRPr="005159AE" w:rsidRDefault="00C94050" w:rsidP="00A469AA">
      <w:pPr>
        <w:spacing w:after="0"/>
        <w:ind w:firstLine="96"/>
        <w:rPr>
          <w:rFonts w:ascii="Verdana" w:hAnsi="Verdana"/>
        </w:rPr>
      </w:pPr>
    </w:p>
    <w:p w14:paraId="77E22CEE" w14:textId="77777777" w:rsidR="00C94050" w:rsidRPr="005159AE" w:rsidRDefault="00C94050" w:rsidP="007E1E34">
      <w:pPr>
        <w:pStyle w:val="ListParagraph"/>
        <w:numPr>
          <w:ilvl w:val="0"/>
          <w:numId w:val="2"/>
        </w:numPr>
        <w:spacing w:after="0"/>
        <w:rPr>
          <w:rFonts w:ascii="Verdana" w:hAnsi="Verdana"/>
        </w:rPr>
      </w:pPr>
      <w:r w:rsidRPr="005159AE">
        <w:rPr>
          <w:rFonts w:ascii="Verdana" w:hAnsi="Verdana"/>
        </w:rPr>
        <w:t>Are expunged arrests included? </w:t>
      </w:r>
    </w:p>
    <w:p w14:paraId="3AE2962E" w14:textId="77777777" w:rsidR="00A469AA" w:rsidRPr="005159AE" w:rsidRDefault="00A469AA" w:rsidP="00A469AA">
      <w:pPr>
        <w:pStyle w:val="ListParagraph"/>
        <w:spacing w:after="0"/>
        <w:rPr>
          <w:rFonts w:ascii="Verdana" w:hAnsi="Verdana"/>
        </w:rPr>
      </w:pPr>
    </w:p>
    <w:p w14:paraId="21A835F5" w14:textId="77777777" w:rsidR="00C94050" w:rsidRPr="005159AE" w:rsidRDefault="00C94050" w:rsidP="00A469AA">
      <w:pPr>
        <w:pStyle w:val="ListParagraph"/>
        <w:spacing w:after="0"/>
        <w:rPr>
          <w:rFonts w:ascii="Verdana" w:hAnsi="Verdana"/>
        </w:rPr>
      </w:pPr>
      <w:r w:rsidRPr="005159AE">
        <w:rPr>
          <w:rFonts w:ascii="Verdana" w:hAnsi="Verdana"/>
        </w:rPr>
        <w:t xml:space="preserve">No. When an arrest is expunged, the record no longer exists. For this reason, as expungements are processed, the volume of arrests, charges, and defendants can change. </w:t>
      </w:r>
    </w:p>
    <w:p w14:paraId="4D2ACA46" w14:textId="77777777" w:rsidR="00C94050" w:rsidRPr="005159AE" w:rsidRDefault="00C94050" w:rsidP="00A469AA">
      <w:pPr>
        <w:spacing w:after="0"/>
        <w:rPr>
          <w:rFonts w:ascii="Verdana" w:hAnsi="Verdana"/>
        </w:rPr>
      </w:pPr>
    </w:p>
    <w:p w14:paraId="7D9ECA33" w14:textId="77777777" w:rsidR="00C94050" w:rsidRPr="005159AE" w:rsidRDefault="00C94050" w:rsidP="007E1E34">
      <w:pPr>
        <w:pStyle w:val="ListParagraph"/>
        <w:numPr>
          <w:ilvl w:val="0"/>
          <w:numId w:val="2"/>
        </w:numPr>
        <w:spacing w:after="0"/>
        <w:rPr>
          <w:rFonts w:ascii="Verdana" w:hAnsi="Verdana"/>
        </w:rPr>
      </w:pPr>
      <w:r w:rsidRPr="005159AE">
        <w:rPr>
          <w:rFonts w:ascii="Verdana" w:hAnsi="Verdana"/>
        </w:rPr>
        <w:t>Is there information on race and ethnicity?</w:t>
      </w:r>
    </w:p>
    <w:p w14:paraId="4FC00083" w14:textId="77777777" w:rsidR="00A469AA" w:rsidRPr="005159AE" w:rsidRDefault="00A469AA" w:rsidP="00A469AA">
      <w:pPr>
        <w:pStyle w:val="ListParagraph"/>
        <w:spacing w:after="0"/>
        <w:rPr>
          <w:rFonts w:ascii="Verdana" w:hAnsi="Verdana"/>
        </w:rPr>
      </w:pPr>
    </w:p>
    <w:p w14:paraId="13E07058" w14:textId="5A10F3EA" w:rsidR="003D6558" w:rsidRPr="005159AE" w:rsidRDefault="00C94050" w:rsidP="00A469AA">
      <w:pPr>
        <w:pStyle w:val="ListParagraph"/>
        <w:spacing w:after="0"/>
        <w:rPr>
          <w:rFonts w:ascii="Verdana" w:hAnsi="Verdana"/>
        </w:rPr>
      </w:pPr>
      <w:r w:rsidRPr="005159AE">
        <w:rPr>
          <w:rFonts w:ascii="Verdana" w:hAnsi="Verdana"/>
        </w:rPr>
        <w:t>Yes and no. The data can be broken down by race but not ethnicity at this time. This means that individuals of Hispanic ethnicity cannot be separated out in the data and are included in the racial category of the individual (White, Black, Asian/Pacific Islander, or American Indian/Alaska Native), according to specifications required for federal criminal history databases.</w:t>
      </w:r>
    </w:p>
    <w:sectPr w:rsidR="003D6558" w:rsidRPr="0051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96A02"/>
    <w:multiLevelType w:val="hybridMultilevel"/>
    <w:tmpl w:val="B74A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12E1A"/>
    <w:multiLevelType w:val="hybridMultilevel"/>
    <w:tmpl w:val="ABAC6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87532"/>
    <w:multiLevelType w:val="hybridMultilevel"/>
    <w:tmpl w:val="C2F0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58"/>
    <w:rsid w:val="0001678D"/>
    <w:rsid w:val="000A19DD"/>
    <w:rsid w:val="000D6C84"/>
    <w:rsid w:val="001022DF"/>
    <w:rsid w:val="003B5E7A"/>
    <w:rsid w:val="003D6558"/>
    <w:rsid w:val="00462DC8"/>
    <w:rsid w:val="004B1856"/>
    <w:rsid w:val="004D361B"/>
    <w:rsid w:val="005159AE"/>
    <w:rsid w:val="00693C7E"/>
    <w:rsid w:val="006A2955"/>
    <w:rsid w:val="007A4E28"/>
    <w:rsid w:val="007B09AD"/>
    <w:rsid w:val="007C44AC"/>
    <w:rsid w:val="007E1E34"/>
    <w:rsid w:val="00801704"/>
    <w:rsid w:val="00805E2B"/>
    <w:rsid w:val="00841258"/>
    <w:rsid w:val="008661A6"/>
    <w:rsid w:val="008674E1"/>
    <w:rsid w:val="008F6B70"/>
    <w:rsid w:val="00A26C8A"/>
    <w:rsid w:val="00A31159"/>
    <w:rsid w:val="00A469AA"/>
    <w:rsid w:val="00A64026"/>
    <w:rsid w:val="00AF0866"/>
    <w:rsid w:val="00B87ABE"/>
    <w:rsid w:val="00C3670E"/>
    <w:rsid w:val="00C94050"/>
    <w:rsid w:val="00D12398"/>
    <w:rsid w:val="00EA7F0D"/>
    <w:rsid w:val="00F1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5533"/>
  <w15:chartTrackingRefBased/>
  <w15:docId w15:val="{1E40E338-73C4-4E6E-BD5D-EAC0347F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5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6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6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558"/>
    <w:rPr>
      <w:color w:val="0563C1" w:themeColor="hyperlink"/>
      <w:u w:val="single"/>
    </w:rPr>
  </w:style>
  <w:style w:type="character" w:styleId="UnresolvedMention">
    <w:name w:val="Unresolved Mention"/>
    <w:basedOn w:val="DefaultParagraphFont"/>
    <w:uiPriority w:val="99"/>
    <w:semiHidden/>
    <w:unhideWhenUsed/>
    <w:rsid w:val="003D6558"/>
    <w:rPr>
      <w:color w:val="605E5C"/>
      <w:shd w:val="clear" w:color="auto" w:fill="E1DFDD"/>
    </w:rPr>
  </w:style>
  <w:style w:type="character" w:customStyle="1" w:styleId="Heading1Char">
    <w:name w:val="Heading 1 Char"/>
    <w:basedOn w:val="DefaultParagraphFont"/>
    <w:link w:val="Heading1"/>
    <w:uiPriority w:val="9"/>
    <w:rsid w:val="003D65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6558"/>
    <w:pPr>
      <w:ind w:left="720"/>
      <w:contextualSpacing/>
    </w:pPr>
  </w:style>
  <w:style w:type="paragraph" w:styleId="Title">
    <w:name w:val="Title"/>
    <w:basedOn w:val="Normal"/>
    <w:next w:val="Normal"/>
    <w:link w:val="TitleChar"/>
    <w:uiPriority w:val="10"/>
    <w:qFormat/>
    <w:rsid w:val="00A26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C8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6C8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26C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6C8A"/>
    <w:rPr>
      <w:rFonts w:eastAsiaTheme="minorEastAsia"/>
      <w:color w:val="5A5A5A" w:themeColor="text1" w:themeTint="A5"/>
      <w:spacing w:val="15"/>
    </w:rPr>
  </w:style>
  <w:style w:type="character" w:styleId="SubtleEmphasis">
    <w:name w:val="Subtle Emphasis"/>
    <w:basedOn w:val="DefaultParagraphFont"/>
    <w:uiPriority w:val="19"/>
    <w:qFormat/>
    <w:rsid w:val="00A26C8A"/>
    <w:rPr>
      <w:i/>
      <w:iCs/>
      <w:color w:val="404040" w:themeColor="text1" w:themeTint="BF"/>
    </w:rPr>
  </w:style>
  <w:style w:type="character" w:customStyle="1" w:styleId="Heading3Char">
    <w:name w:val="Heading 3 Char"/>
    <w:basedOn w:val="DefaultParagraphFont"/>
    <w:link w:val="Heading3"/>
    <w:uiPriority w:val="9"/>
    <w:rsid w:val="00A26C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2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F0866"/>
    <w:rPr>
      <w:sz w:val="16"/>
      <w:szCs w:val="16"/>
    </w:rPr>
  </w:style>
  <w:style w:type="paragraph" w:styleId="CommentText">
    <w:name w:val="annotation text"/>
    <w:basedOn w:val="Normal"/>
    <w:link w:val="CommentTextChar"/>
    <w:uiPriority w:val="99"/>
    <w:semiHidden/>
    <w:unhideWhenUsed/>
    <w:rsid w:val="00AF0866"/>
    <w:pPr>
      <w:spacing w:line="240" w:lineRule="auto"/>
    </w:pPr>
    <w:rPr>
      <w:sz w:val="20"/>
      <w:szCs w:val="20"/>
    </w:rPr>
  </w:style>
  <w:style w:type="character" w:customStyle="1" w:styleId="CommentTextChar">
    <w:name w:val="Comment Text Char"/>
    <w:basedOn w:val="DefaultParagraphFont"/>
    <w:link w:val="CommentText"/>
    <w:uiPriority w:val="99"/>
    <w:semiHidden/>
    <w:rsid w:val="00AF0866"/>
    <w:rPr>
      <w:sz w:val="20"/>
      <w:szCs w:val="20"/>
    </w:rPr>
  </w:style>
  <w:style w:type="paragraph" w:styleId="CommentSubject">
    <w:name w:val="annotation subject"/>
    <w:basedOn w:val="CommentText"/>
    <w:next w:val="CommentText"/>
    <w:link w:val="CommentSubjectChar"/>
    <w:uiPriority w:val="99"/>
    <w:semiHidden/>
    <w:unhideWhenUsed/>
    <w:rsid w:val="00AF0866"/>
    <w:rPr>
      <w:b/>
      <w:bCs/>
    </w:rPr>
  </w:style>
  <w:style w:type="character" w:customStyle="1" w:styleId="CommentSubjectChar">
    <w:name w:val="Comment Subject Char"/>
    <w:basedOn w:val="CommentTextChar"/>
    <w:link w:val="CommentSubject"/>
    <w:uiPriority w:val="99"/>
    <w:semiHidden/>
    <w:rsid w:val="00AF0866"/>
    <w:rPr>
      <w:b/>
      <w:bCs/>
      <w:sz w:val="20"/>
      <w:szCs w:val="20"/>
    </w:rPr>
  </w:style>
  <w:style w:type="paragraph" w:styleId="BalloonText">
    <w:name w:val="Balloon Text"/>
    <w:basedOn w:val="Normal"/>
    <w:link w:val="BalloonTextChar"/>
    <w:uiPriority w:val="99"/>
    <w:semiHidden/>
    <w:unhideWhenUsed/>
    <w:rsid w:val="00AF0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866"/>
    <w:rPr>
      <w:rFonts w:ascii="Segoe UI" w:hAnsi="Segoe UI" w:cs="Segoe UI"/>
      <w:sz w:val="18"/>
      <w:szCs w:val="18"/>
    </w:rPr>
  </w:style>
  <w:style w:type="paragraph" w:styleId="Revision">
    <w:name w:val="Revision"/>
    <w:hidden/>
    <w:uiPriority w:val="99"/>
    <w:semiHidden/>
    <w:rsid w:val="008674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7932">
      <w:bodyDiv w:val="1"/>
      <w:marLeft w:val="0"/>
      <w:marRight w:val="0"/>
      <w:marTop w:val="0"/>
      <w:marBottom w:val="0"/>
      <w:divBdr>
        <w:top w:val="none" w:sz="0" w:space="0" w:color="auto"/>
        <w:left w:val="none" w:sz="0" w:space="0" w:color="auto"/>
        <w:bottom w:val="none" w:sz="0" w:space="0" w:color="auto"/>
        <w:right w:val="none" w:sz="0" w:space="0" w:color="auto"/>
      </w:divBdr>
    </w:div>
    <w:div w:id="838815643">
      <w:bodyDiv w:val="1"/>
      <w:marLeft w:val="0"/>
      <w:marRight w:val="0"/>
      <w:marTop w:val="0"/>
      <w:marBottom w:val="0"/>
      <w:divBdr>
        <w:top w:val="none" w:sz="0" w:space="0" w:color="auto"/>
        <w:left w:val="none" w:sz="0" w:space="0" w:color="auto"/>
        <w:bottom w:val="none" w:sz="0" w:space="0" w:color="auto"/>
        <w:right w:val="none" w:sz="0" w:space="0" w:color="auto"/>
      </w:divBdr>
    </w:div>
    <w:div w:id="1249777875">
      <w:bodyDiv w:val="1"/>
      <w:marLeft w:val="0"/>
      <w:marRight w:val="0"/>
      <w:marTop w:val="0"/>
      <w:marBottom w:val="0"/>
      <w:divBdr>
        <w:top w:val="none" w:sz="0" w:space="0" w:color="auto"/>
        <w:left w:val="none" w:sz="0" w:space="0" w:color="auto"/>
        <w:bottom w:val="none" w:sz="0" w:space="0" w:color="auto"/>
        <w:right w:val="none" w:sz="0" w:space="0" w:color="auto"/>
      </w:divBdr>
    </w:div>
    <w:div w:id="1328940848">
      <w:bodyDiv w:val="1"/>
      <w:marLeft w:val="0"/>
      <w:marRight w:val="0"/>
      <w:marTop w:val="0"/>
      <w:marBottom w:val="0"/>
      <w:divBdr>
        <w:top w:val="none" w:sz="0" w:space="0" w:color="auto"/>
        <w:left w:val="none" w:sz="0" w:space="0" w:color="auto"/>
        <w:bottom w:val="none" w:sz="0" w:space="0" w:color="auto"/>
        <w:right w:val="none" w:sz="0" w:space="0" w:color="auto"/>
      </w:divBdr>
    </w:div>
    <w:div w:id="1514344356">
      <w:bodyDiv w:val="1"/>
      <w:marLeft w:val="0"/>
      <w:marRight w:val="0"/>
      <w:marTop w:val="0"/>
      <w:marBottom w:val="0"/>
      <w:divBdr>
        <w:top w:val="none" w:sz="0" w:space="0" w:color="auto"/>
        <w:left w:val="none" w:sz="0" w:space="0" w:color="auto"/>
        <w:bottom w:val="none" w:sz="0" w:space="0" w:color="auto"/>
        <w:right w:val="none" w:sz="0" w:space="0" w:color="auto"/>
      </w:divBdr>
    </w:div>
    <w:div w:id="1557398560">
      <w:bodyDiv w:val="1"/>
      <w:marLeft w:val="0"/>
      <w:marRight w:val="0"/>
      <w:marTop w:val="0"/>
      <w:marBottom w:val="0"/>
      <w:divBdr>
        <w:top w:val="none" w:sz="0" w:space="0" w:color="auto"/>
        <w:left w:val="none" w:sz="0" w:space="0" w:color="auto"/>
        <w:bottom w:val="none" w:sz="0" w:space="0" w:color="auto"/>
        <w:right w:val="none" w:sz="0" w:space="0" w:color="auto"/>
      </w:divBdr>
    </w:div>
    <w:div w:id="1768690218">
      <w:bodyDiv w:val="1"/>
      <w:marLeft w:val="0"/>
      <w:marRight w:val="0"/>
      <w:marTop w:val="0"/>
      <w:marBottom w:val="0"/>
      <w:divBdr>
        <w:top w:val="none" w:sz="0" w:space="0" w:color="auto"/>
        <w:left w:val="none" w:sz="0" w:space="0" w:color="auto"/>
        <w:bottom w:val="none" w:sz="0" w:space="0" w:color="auto"/>
        <w:right w:val="none" w:sz="0" w:space="0" w:color="auto"/>
      </w:divBdr>
    </w:div>
    <w:div w:id="187160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data.census.gov/cedsci/table?g=0400000US34%240600000&amp;y=2020&amp;d=DEC%20Redistricting%20Data%20%28PL%2094-171%29&amp;tid=DECENNIALPL2020.P2" TargetMode="External"/><Relationship Id="rId4" Type="http://schemas.openxmlformats.org/officeDocument/2006/relationships/customXml" Target="../customXml/item4.xml"/><Relationship Id="rId9" Type="http://schemas.openxmlformats.org/officeDocument/2006/relationships/hyperlink" Target="https://www.njoag.gov/justi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6F89B29939FB40B2822480F37BEFB8" ma:contentTypeVersion="11" ma:contentTypeDescription="Create a new document." ma:contentTypeScope="" ma:versionID="067720784abfc28c48d0434847992df6">
  <xsd:schema xmlns:xsd="http://www.w3.org/2001/XMLSchema" xmlns:xs="http://www.w3.org/2001/XMLSchema" xmlns:p="http://schemas.microsoft.com/office/2006/metadata/properties" xmlns:ns3="1949d8cf-83a3-4c9c-9bd3-7dccbab4b777" xmlns:ns4="a0e1ee4b-a8b8-47a0-8873-48a01510ba70" targetNamespace="http://schemas.microsoft.com/office/2006/metadata/properties" ma:root="true" ma:fieldsID="0006ac7265ad84e1ae88df3d64e70606" ns3:_="" ns4:_="">
    <xsd:import namespace="1949d8cf-83a3-4c9c-9bd3-7dccbab4b777"/>
    <xsd:import namespace="a0e1ee4b-a8b8-47a0-8873-48a01510ba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9d8cf-83a3-4c9c-9bd3-7dccbab4b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e1ee4b-a8b8-47a0-8873-48a01510ba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49d8cf-83a3-4c9c-9bd3-7dccbab4b77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1DA97-25D4-49AF-8778-E34FB4606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9d8cf-83a3-4c9c-9bd3-7dccbab4b777"/>
    <ds:schemaRef ds:uri="a0e1ee4b-a8b8-47a0-8873-48a01510ba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817005-CEF9-41AD-8524-DC40B251EE35}">
  <ds:schemaRefs>
    <ds:schemaRef ds:uri="http://schemas.microsoft.com/sharepoint/v3/contenttype/forms"/>
  </ds:schemaRefs>
</ds:datastoreItem>
</file>

<file path=customXml/itemProps3.xml><?xml version="1.0" encoding="utf-8"?>
<ds:datastoreItem xmlns:ds="http://schemas.openxmlformats.org/officeDocument/2006/customXml" ds:itemID="{18FD5691-8AE1-4378-86FE-29867FABD466}">
  <ds:schemaRefs>
    <ds:schemaRef ds:uri="http://purl.org/dc/terms/"/>
    <ds:schemaRef ds:uri="1949d8cf-83a3-4c9c-9bd3-7dccbab4b777"/>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a0e1ee4b-a8b8-47a0-8873-48a01510ba70"/>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DE59F05F-078C-429D-9857-3968F89A0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Cataldo</dc:creator>
  <cp:keywords/>
  <dc:description/>
  <cp:lastModifiedBy>Kimberly Cataldo</cp:lastModifiedBy>
  <cp:revision>3</cp:revision>
  <dcterms:created xsi:type="dcterms:W3CDTF">2023-10-23T20:37:00Z</dcterms:created>
  <dcterms:modified xsi:type="dcterms:W3CDTF">2023-10-24T12:24:00Z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0x010100D86F89B29939FB40B2822480F37BEFB8</vt:lpwstr>
  </property>
</Properties>
</file>